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0FCB7">
      <w:pPr>
        <w:pStyle w:val="2"/>
      </w:pPr>
      <w:r>
        <w:rPr>
          <w:rFonts w:hint="eastAsia"/>
        </w:rPr>
        <w:t>服务内容与要求</w:t>
      </w:r>
    </w:p>
    <w:p w14:paraId="3F3BFB61">
      <w:pPr>
        <w:pStyle w:val="3"/>
        <w:rPr>
          <w:rFonts w:hint="eastAsia" w:ascii="宋体" w:hAnsi="宋体"/>
        </w:rPr>
      </w:pPr>
      <w:r>
        <w:rPr>
          <w:rFonts w:hint="eastAsia"/>
        </w:rPr>
        <w:t>资产梳理</w:t>
      </w:r>
      <w:r>
        <w:rPr>
          <w:rFonts w:hint="eastAsia" w:ascii="Malgun Gothic Semilight" w:hAnsi="Malgun Gothic Semilight" w:eastAsia="Malgun Gothic Semilight" w:cs="Malgun Gothic Semilight"/>
        </w:rPr>
        <w:t>：</w:t>
      </w:r>
    </w:p>
    <w:p w14:paraId="7B279EA9">
      <w:pPr>
        <w:ind w:firstLine="485"/>
        <w:rPr>
          <w:rFonts w:hint="eastAsia" w:ascii="仿宋" w:hAnsi="仿宋" w:eastAsia="仿宋"/>
          <w:sz w:val="24"/>
        </w:rPr>
      </w:pPr>
      <w:r>
        <w:rPr>
          <w:rFonts w:hint="eastAsia" w:ascii="仿宋" w:hAnsi="仿宋" w:eastAsia="仿宋" w:cs="微软雅黑"/>
          <w:sz w:val="24"/>
        </w:rPr>
        <w:t>每次梳理后提交</w:t>
      </w:r>
      <w:r>
        <w:rPr>
          <w:rFonts w:hint="eastAsia" w:ascii="仿宋" w:hAnsi="仿宋" w:eastAsia="仿宋" w:cs="Malgun Gothic Semilight"/>
          <w:sz w:val="24"/>
        </w:rPr>
        <w:t>《</w:t>
      </w:r>
      <w:r>
        <w:rPr>
          <w:rFonts w:hint="eastAsia" w:ascii="仿宋" w:hAnsi="仿宋" w:eastAsia="仿宋" w:cs="微软雅黑"/>
          <w:sz w:val="24"/>
        </w:rPr>
        <w:t>资产梳理报告</w:t>
      </w:r>
      <w:r>
        <w:rPr>
          <w:rFonts w:hint="eastAsia" w:ascii="仿宋" w:hAnsi="仿宋" w:eastAsia="仿宋" w:cs="Malgun Gothic Semilight"/>
          <w:sz w:val="24"/>
        </w:rPr>
        <w:t>》。（</w:t>
      </w:r>
      <w:r>
        <w:rPr>
          <w:rFonts w:hint="eastAsia" w:ascii="仿宋" w:hAnsi="仿宋" w:eastAsia="仿宋" w:cs="微软雅黑"/>
          <w:sz w:val="24"/>
        </w:rPr>
        <w:t>提供资产梳理报告样本</w:t>
      </w:r>
      <w:r>
        <w:rPr>
          <w:rFonts w:hint="eastAsia" w:ascii="仿宋" w:hAnsi="仿宋" w:eastAsia="仿宋" w:cs="Malgun Gothic Semilight"/>
          <w:sz w:val="24"/>
        </w:rPr>
        <w:t>，</w:t>
      </w:r>
      <w:r>
        <w:rPr>
          <w:rFonts w:hint="eastAsia" w:ascii="仿宋" w:hAnsi="仿宋" w:eastAsia="仿宋" w:cs="微软雅黑"/>
          <w:sz w:val="24"/>
        </w:rPr>
        <w:t>并加盖投标人公章</w:t>
      </w:r>
      <w:r>
        <w:rPr>
          <w:rFonts w:hint="eastAsia" w:ascii="仿宋" w:hAnsi="仿宋" w:eastAsia="仿宋" w:cs="Malgun Gothic Semilight"/>
          <w:sz w:val="24"/>
        </w:rPr>
        <w:t>）</w:t>
      </w:r>
    </w:p>
    <w:p w14:paraId="39FEC536">
      <w:pPr>
        <w:ind w:firstLine="485"/>
        <w:rPr>
          <w:rFonts w:hint="eastAsia" w:ascii="宋体" w:hAnsi="宋体"/>
          <w:sz w:val="24"/>
        </w:rPr>
      </w:pPr>
      <w:r>
        <w:rPr>
          <w:rFonts w:hint="eastAsia" w:ascii="仿宋" w:hAnsi="仿宋" w:eastAsia="仿宋"/>
          <w:sz w:val="24"/>
        </w:rPr>
        <w:t>★</w:t>
      </w:r>
      <w:r>
        <w:rPr>
          <w:rFonts w:hint="eastAsia" w:ascii="仿宋" w:hAnsi="仿宋" w:eastAsia="仿宋" w:cs="微软雅黑"/>
          <w:sz w:val="24"/>
        </w:rPr>
        <w:t>投标人需提供的资产梳理工具</w:t>
      </w:r>
      <w:r>
        <w:rPr>
          <w:rFonts w:hint="eastAsia" w:ascii="仿宋" w:hAnsi="仿宋" w:eastAsia="仿宋" w:cs="Malgun Gothic Semilight"/>
          <w:sz w:val="24"/>
        </w:rPr>
        <w:t>，</w:t>
      </w:r>
      <w:r>
        <w:rPr>
          <w:rFonts w:hint="eastAsia" w:ascii="仿宋" w:hAnsi="仿宋" w:eastAsia="仿宋" w:cs="微软雅黑"/>
          <w:sz w:val="24"/>
        </w:rPr>
        <w:t>资产梳理工具具体要求详见</w:t>
      </w:r>
      <w:r>
        <w:rPr>
          <w:rFonts w:hint="eastAsia" w:ascii="仿宋" w:hAnsi="仿宋" w:eastAsia="仿宋" w:cs="Malgun Gothic Semilight"/>
          <w:sz w:val="24"/>
        </w:rPr>
        <w:t>《</w:t>
      </w:r>
      <w:r>
        <w:rPr>
          <w:rFonts w:hint="eastAsia" w:ascii="仿宋" w:hAnsi="仿宋" w:eastAsia="仿宋" w:cs="微软雅黑"/>
          <w:sz w:val="24"/>
        </w:rPr>
        <w:t>资产梳理漏洞扫描服务工具要求</w:t>
      </w:r>
      <w:r>
        <w:rPr>
          <w:rFonts w:hint="eastAsia" w:ascii="仿宋" w:hAnsi="仿宋" w:eastAsia="仿宋" w:cs="Malgun Gothic Semilight"/>
          <w:sz w:val="24"/>
        </w:rPr>
        <w:t>》</w:t>
      </w:r>
      <w:r>
        <w:rPr>
          <w:rFonts w:hint="eastAsia" w:ascii="Malgun Gothic Semilight" w:hAnsi="Malgun Gothic Semilight" w:eastAsia="Malgun Gothic Semilight" w:cs="Malgun Gothic Semilight"/>
          <w:sz w:val="24"/>
        </w:rPr>
        <w:t>。</w:t>
      </w:r>
    </w:p>
    <w:p w14:paraId="7DE0805B">
      <w:pPr>
        <w:pStyle w:val="3"/>
      </w:pPr>
      <w:r>
        <w:rPr>
          <w:rFonts w:hint="eastAsia"/>
        </w:rPr>
        <w:t>渗透测试服务</w:t>
      </w:r>
      <w:r>
        <w:rPr>
          <w:rFonts w:hint="eastAsia" w:ascii="Malgun Gothic Semilight" w:hAnsi="Malgun Gothic Semilight" w:eastAsia="Malgun Gothic Semilight" w:cs="Malgun Gothic Semilight"/>
        </w:rPr>
        <w:t>：</w:t>
      </w:r>
    </w:p>
    <w:p w14:paraId="28A917CC">
      <w:pPr>
        <w:ind w:firstLine="485"/>
        <w:rPr>
          <w:rFonts w:hint="eastAsia" w:ascii="仿宋" w:hAnsi="仿宋" w:eastAsia="仿宋" w:cs="微软雅黑"/>
          <w:sz w:val="24"/>
        </w:rPr>
      </w:pPr>
      <w:r>
        <w:rPr>
          <w:rFonts w:hint="eastAsia" w:ascii="仿宋" w:hAnsi="仿宋" w:eastAsia="仿宋" w:cs="微软雅黑"/>
          <w:sz w:val="24"/>
        </w:rPr>
        <w:t>配合医院处理相关漏洞问题，完成整改后进行复扫，服务后提交《渗透测试授权书》《渗透测试方案》《渗透测试报告》《整改建议书》《渗透测试复测报告》等。</w:t>
      </w:r>
    </w:p>
    <w:p w14:paraId="7A02C6F2">
      <w:pPr>
        <w:ind w:firstLine="485"/>
        <w:rPr>
          <w:rFonts w:hint="eastAsia" w:ascii="仿宋" w:hAnsi="仿宋" w:eastAsia="仿宋" w:cs="微软雅黑"/>
          <w:sz w:val="24"/>
        </w:rPr>
      </w:pPr>
      <w:r>
        <w:rPr>
          <w:rFonts w:hint="eastAsia" w:ascii="仿宋" w:hAnsi="仿宋" w:eastAsia="仿宋" w:cs="微软雅黑"/>
          <w:sz w:val="24"/>
        </w:rPr>
        <w:t>投标人应采用多样化的技术手段针对web安全漏洞、安全功能缺失漏洞、业务逻辑漏洞、中间件漏洞等进行检测，并针对系统层面与网络层面开展安全测试。</w:t>
      </w:r>
    </w:p>
    <w:p w14:paraId="579729F3">
      <w:pPr>
        <w:pStyle w:val="3"/>
        <w:rPr>
          <w:rFonts w:hint="eastAsia" w:ascii="宋体" w:hAnsi="宋体"/>
        </w:rPr>
      </w:pPr>
      <w:r>
        <w:rPr>
          <w:rFonts w:hint="eastAsia"/>
        </w:rPr>
        <w:t>漏洞扫描服务</w:t>
      </w:r>
      <w:r>
        <w:rPr>
          <w:rFonts w:hint="eastAsia" w:ascii="Malgun Gothic Semilight" w:hAnsi="Malgun Gothic Semilight" w:eastAsia="Malgun Gothic Semilight" w:cs="Malgun Gothic Semilight"/>
        </w:rPr>
        <w:t>：</w:t>
      </w:r>
    </w:p>
    <w:p w14:paraId="5D3128D1">
      <w:pPr>
        <w:ind w:firstLine="485"/>
        <w:rPr>
          <w:rFonts w:hint="eastAsia" w:ascii="仿宋" w:hAnsi="仿宋" w:eastAsia="仿宋"/>
          <w:sz w:val="24"/>
        </w:rPr>
      </w:pPr>
      <w:r>
        <w:rPr>
          <w:rFonts w:hint="eastAsia" w:ascii="仿宋" w:hAnsi="仿宋" w:eastAsia="仿宋" w:cs="微软雅黑"/>
          <w:sz w:val="24"/>
        </w:rPr>
        <w:t>通过技术人员定期漏洞扫描</w:t>
      </w:r>
      <w:r>
        <w:rPr>
          <w:rFonts w:hint="eastAsia" w:ascii="仿宋" w:hAnsi="仿宋" w:eastAsia="仿宋" w:cs="Malgun Gothic Semilight"/>
          <w:sz w:val="24"/>
        </w:rPr>
        <w:t>，</w:t>
      </w:r>
      <w:r>
        <w:rPr>
          <w:rFonts w:hint="eastAsia" w:ascii="仿宋" w:hAnsi="仿宋" w:eastAsia="仿宋" w:cs="微软雅黑"/>
          <w:sz w:val="24"/>
        </w:rPr>
        <w:t>对存在的各种安全漏洞</w:t>
      </w:r>
      <w:r>
        <w:rPr>
          <w:rFonts w:hint="eastAsia" w:ascii="仿宋" w:hAnsi="仿宋" w:eastAsia="仿宋" w:cs="Malgun Gothic Semilight"/>
          <w:sz w:val="24"/>
        </w:rPr>
        <w:t>、</w:t>
      </w:r>
      <w:r>
        <w:rPr>
          <w:rFonts w:hint="eastAsia" w:ascii="仿宋" w:hAnsi="仿宋" w:eastAsia="仿宋" w:cs="微软雅黑"/>
          <w:sz w:val="24"/>
        </w:rPr>
        <w:t>隐患</w:t>
      </w:r>
      <w:r>
        <w:rPr>
          <w:rFonts w:hint="eastAsia" w:ascii="仿宋" w:hAnsi="仿宋" w:eastAsia="仿宋" w:cs="Malgun Gothic Semilight"/>
          <w:sz w:val="24"/>
        </w:rPr>
        <w:t>，</w:t>
      </w:r>
      <w:r>
        <w:rPr>
          <w:rFonts w:hint="eastAsia" w:ascii="仿宋" w:hAnsi="仿宋" w:eastAsia="仿宋" w:cs="微软雅黑"/>
          <w:sz w:val="24"/>
        </w:rPr>
        <w:t>以及系统运行状态</w:t>
      </w:r>
      <w:r>
        <w:rPr>
          <w:rFonts w:hint="eastAsia" w:ascii="仿宋" w:hAnsi="仿宋" w:eastAsia="仿宋" w:cs="Malgun Gothic Semilight"/>
          <w:sz w:val="24"/>
        </w:rPr>
        <w:t>，</w:t>
      </w:r>
      <w:r>
        <w:rPr>
          <w:rFonts w:hint="eastAsia" w:ascii="仿宋" w:hAnsi="仿宋" w:eastAsia="仿宋" w:cs="微软雅黑"/>
          <w:sz w:val="24"/>
        </w:rPr>
        <w:t>提供检测报告及系统加固意见和相关处置措施</w:t>
      </w:r>
      <w:r>
        <w:rPr>
          <w:rFonts w:hint="eastAsia" w:ascii="仿宋" w:hAnsi="仿宋" w:eastAsia="仿宋" w:cs="Malgun Gothic Semilight"/>
          <w:sz w:val="24"/>
        </w:rPr>
        <w:t>，</w:t>
      </w:r>
      <w:r>
        <w:rPr>
          <w:rFonts w:hint="eastAsia" w:ascii="仿宋" w:hAnsi="仿宋" w:eastAsia="仿宋" w:cs="微软雅黑"/>
          <w:sz w:val="24"/>
        </w:rPr>
        <w:t>协助完成漏洞修补和安全整改后进行复扫</w:t>
      </w:r>
      <w:r>
        <w:rPr>
          <w:rFonts w:hint="eastAsia" w:ascii="仿宋" w:hAnsi="仿宋" w:eastAsia="仿宋" w:cs="Malgun Gothic Semilight"/>
          <w:sz w:val="24"/>
        </w:rPr>
        <w:t>；</w:t>
      </w:r>
      <w:r>
        <w:rPr>
          <w:rFonts w:hint="eastAsia" w:ascii="仿宋" w:hAnsi="仿宋" w:eastAsia="仿宋" w:cs="微软雅黑"/>
          <w:sz w:val="24"/>
        </w:rPr>
        <w:t>每次服务后提供</w:t>
      </w:r>
      <w:r>
        <w:rPr>
          <w:rFonts w:hint="eastAsia" w:ascii="仿宋" w:hAnsi="仿宋" w:eastAsia="仿宋" w:cs="Malgun Gothic Semilight"/>
          <w:sz w:val="24"/>
        </w:rPr>
        <w:t>《</w:t>
      </w:r>
      <w:r>
        <w:rPr>
          <w:rFonts w:hint="eastAsia" w:ascii="仿宋" w:hAnsi="仿宋" w:eastAsia="仿宋" w:cs="微软雅黑"/>
          <w:sz w:val="24"/>
        </w:rPr>
        <w:t>漏洞扫描报告</w:t>
      </w:r>
      <w:r>
        <w:rPr>
          <w:rFonts w:hint="eastAsia" w:ascii="仿宋" w:hAnsi="仿宋" w:eastAsia="仿宋" w:cs="Malgun Gothic Semilight"/>
          <w:sz w:val="24"/>
        </w:rPr>
        <w:t>》</w:t>
      </w:r>
      <w:r>
        <w:rPr>
          <w:rFonts w:hint="eastAsia" w:ascii="仿宋" w:hAnsi="仿宋" w:eastAsia="仿宋" w:cs="微软雅黑"/>
          <w:sz w:val="24"/>
        </w:rPr>
        <w:t>和漏洞解决方案</w:t>
      </w:r>
      <w:r>
        <w:rPr>
          <w:rFonts w:hint="eastAsia" w:ascii="仿宋" w:hAnsi="仿宋" w:eastAsia="仿宋" w:cs="Malgun Gothic Semilight"/>
          <w:sz w:val="24"/>
        </w:rPr>
        <w:t>。</w:t>
      </w:r>
    </w:p>
    <w:p w14:paraId="41F7B616">
      <w:pPr>
        <w:ind w:firstLine="485"/>
        <w:rPr>
          <w:rFonts w:hint="eastAsia" w:ascii="仿宋" w:hAnsi="仿宋" w:eastAsia="仿宋"/>
          <w:sz w:val="24"/>
        </w:rPr>
      </w:pPr>
      <w:r>
        <w:rPr>
          <w:rFonts w:hint="eastAsia" w:ascii="仿宋" w:hAnsi="仿宋" w:eastAsia="仿宋"/>
          <w:sz w:val="24"/>
        </w:rPr>
        <w:t>★</w:t>
      </w:r>
      <w:r>
        <w:rPr>
          <w:rFonts w:hint="eastAsia" w:ascii="仿宋" w:hAnsi="仿宋" w:eastAsia="仿宋" w:cs="微软雅黑"/>
          <w:sz w:val="24"/>
        </w:rPr>
        <w:t>投标人需提供的漏洞扫描工具</w:t>
      </w:r>
      <w:r>
        <w:rPr>
          <w:rFonts w:hint="eastAsia" w:ascii="仿宋" w:hAnsi="仿宋" w:eastAsia="仿宋" w:cs="Malgun Gothic Semilight"/>
          <w:sz w:val="24"/>
        </w:rPr>
        <w:t>，</w:t>
      </w:r>
      <w:r>
        <w:rPr>
          <w:rFonts w:hint="eastAsia" w:ascii="仿宋" w:hAnsi="仿宋" w:eastAsia="仿宋" w:cs="微软雅黑"/>
          <w:sz w:val="24"/>
        </w:rPr>
        <w:t>漏洞扫描工具具体要求详见</w:t>
      </w:r>
      <w:r>
        <w:rPr>
          <w:rFonts w:hint="eastAsia" w:ascii="仿宋" w:hAnsi="仿宋" w:eastAsia="仿宋" w:cs="Malgun Gothic Semilight"/>
          <w:sz w:val="24"/>
        </w:rPr>
        <w:t>《</w:t>
      </w:r>
      <w:r>
        <w:rPr>
          <w:rFonts w:hint="eastAsia" w:ascii="仿宋" w:hAnsi="仿宋" w:eastAsia="仿宋" w:cs="微软雅黑"/>
          <w:sz w:val="24"/>
        </w:rPr>
        <w:t>资产梳理漏洞扫描服务要求</w:t>
      </w:r>
      <w:r>
        <w:rPr>
          <w:rFonts w:hint="eastAsia" w:ascii="仿宋" w:hAnsi="仿宋" w:eastAsia="仿宋" w:cs="Malgun Gothic Semilight"/>
          <w:sz w:val="24"/>
        </w:rPr>
        <w:t>》。</w:t>
      </w:r>
    </w:p>
    <w:p w14:paraId="571153DD">
      <w:pPr>
        <w:ind w:firstLine="321"/>
        <w:rPr>
          <w:rFonts w:hint="eastAsia" w:ascii="宋体" w:hAnsi="宋体"/>
          <w:sz w:val="24"/>
        </w:rPr>
      </w:pPr>
    </w:p>
    <w:p w14:paraId="4ECB3860">
      <w:pPr>
        <w:pStyle w:val="3"/>
        <w:rPr>
          <w:rFonts w:hint="eastAsia" w:ascii="宋体" w:hAnsi="宋体"/>
        </w:rPr>
      </w:pPr>
      <w:r>
        <w:rPr>
          <w:rFonts w:hint="eastAsia"/>
        </w:rPr>
        <w:t>安全基线评估服务</w:t>
      </w:r>
      <w:r>
        <w:rPr>
          <w:rFonts w:hint="eastAsia" w:ascii="Malgun Gothic Semilight" w:hAnsi="Malgun Gothic Semilight" w:eastAsia="Malgun Gothic Semilight" w:cs="Malgun Gothic Semilight"/>
        </w:rPr>
        <w:t>：</w:t>
      </w:r>
    </w:p>
    <w:p w14:paraId="653E94B6">
      <w:pPr>
        <w:ind w:firstLine="485"/>
        <w:rPr>
          <w:rFonts w:hint="eastAsia" w:ascii="仿宋" w:hAnsi="仿宋" w:eastAsia="仿宋"/>
          <w:sz w:val="24"/>
        </w:rPr>
      </w:pPr>
      <w:r>
        <w:rPr>
          <w:rFonts w:hint="eastAsia" w:ascii="仿宋" w:hAnsi="仿宋" w:eastAsia="仿宋" w:cs="微软雅黑"/>
          <w:sz w:val="24"/>
        </w:rPr>
        <w:t>根据采购人要求每次服务后提交</w:t>
      </w:r>
      <w:r>
        <w:rPr>
          <w:rFonts w:hint="eastAsia" w:ascii="仿宋" w:hAnsi="仿宋" w:eastAsia="仿宋" w:cs="Malgun Gothic Semilight"/>
          <w:sz w:val="24"/>
        </w:rPr>
        <w:t>《</w:t>
      </w:r>
      <w:r>
        <w:rPr>
          <w:rFonts w:hint="eastAsia" w:ascii="仿宋" w:hAnsi="仿宋" w:eastAsia="仿宋" w:cs="微软雅黑"/>
          <w:sz w:val="24"/>
        </w:rPr>
        <w:t>系统网络安全基线检查报告</w:t>
      </w:r>
      <w:r>
        <w:rPr>
          <w:rFonts w:hint="eastAsia" w:ascii="仿宋" w:hAnsi="仿宋" w:eastAsia="仿宋" w:cs="Malgun Gothic Semilight"/>
          <w:sz w:val="24"/>
        </w:rPr>
        <w:t>》《</w:t>
      </w:r>
      <w:r>
        <w:rPr>
          <w:rFonts w:hint="eastAsia" w:ascii="仿宋" w:hAnsi="仿宋" w:eastAsia="仿宋" w:cs="微软雅黑"/>
          <w:sz w:val="24"/>
        </w:rPr>
        <w:t>系统基线检测复查报告</w:t>
      </w:r>
      <w:r>
        <w:rPr>
          <w:rFonts w:hint="eastAsia" w:ascii="仿宋" w:hAnsi="仿宋" w:eastAsia="仿宋" w:cs="Malgun Gothic Semilight"/>
          <w:sz w:val="24"/>
        </w:rPr>
        <w:t>》。</w:t>
      </w:r>
    </w:p>
    <w:p w14:paraId="2CDC0227">
      <w:pPr>
        <w:ind w:firstLine="485"/>
        <w:rPr>
          <w:rFonts w:hint="eastAsia" w:ascii="仿宋" w:hAnsi="仿宋" w:eastAsia="仿宋"/>
          <w:sz w:val="24"/>
        </w:rPr>
      </w:pPr>
      <w:r>
        <w:rPr>
          <w:rFonts w:hint="eastAsia" w:ascii="仿宋" w:hAnsi="仿宋" w:eastAsia="仿宋"/>
          <w:sz w:val="24"/>
        </w:rPr>
        <w:t>★</w:t>
      </w:r>
      <w:r>
        <w:rPr>
          <w:rFonts w:hint="eastAsia" w:ascii="仿宋" w:hAnsi="仿宋" w:eastAsia="仿宋" w:cs="微软雅黑"/>
          <w:sz w:val="24"/>
        </w:rPr>
        <w:t>投标人需提供的基线检查工具</w:t>
      </w:r>
      <w:r>
        <w:rPr>
          <w:rFonts w:hint="eastAsia" w:ascii="仿宋" w:hAnsi="仿宋" w:eastAsia="仿宋" w:cs="Malgun Gothic Semilight"/>
          <w:sz w:val="24"/>
        </w:rPr>
        <w:t>，</w:t>
      </w:r>
      <w:r>
        <w:rPr>
          <w:rFonts w:hint="eastAsia" w:ascii="仿宋" w:hAnsi="仿宋" w:eastAsia="仿宋" w:cs="微软雅黑"/>
          <w:sz w:val="24"/>
        </w:rPr>
        <w:t>基线检查工具具体要求详见</w:t>
      </w:r>
      <w:r>
        <w:rPr>
          <w:rFonts w:hint="eastAsia" w:ascii="仿宋" w:hAnsi="仿宋" w:eastAsia="仿宋" w:cs="Malgun Gothic Semilight"/>
          <w:sz w:val="24"/>
        </w:rPr>
        <w:t>《</w:t>
      </w:r>
      <w:r>
        <w:rPr>
          <w:rFonts w:hint="eastAsia" w:ascii="仿宋" w:hAnsi="仿宋" w:eastAsia="仿宋" w:cs="微软雅黑"/>
          <w:sz w:val="24"/>
        </w:rPr>
        <w:t>资产梳理漏洞扫描服务工具要求</w:t>
      </w:r>
      <w:r>
        <w:rPr>
          <w:rFonts w:hint="eastAsia" w:ascii="仿宋" w:hAnsi="仿宋" w:eastAsia="仿宋" w:cs="Malgun Gothic Semilight"/>
          <w:sz w:val="24"/>
        </w:rPr>
        <w:t>》。</w:t>
      </w:r>
    </w:p>
    <w:p w14:paraId="0F4B6B90">
      <w:pPr>
        <w:pStyle w:val="3"/>
        <w:rPr>
          <w:rFonts w:hint="eastAsia" w:ascii="宋体" w:hAnsi="宋体"/>
        </w:rPr>
      </w:pPr>
      <w:r>
        <w:rPr>
          <w:rFonts w:hint="eastAsia"/>
        </w:rPr>
        <w:t>攻防</w:t>
      </w:r>
      <w:r>
        <w:rPr>
          <w:rFonts w:hint="eastAsia" w:ascii="Malgun Gothic Semilight" w:hAnsi="Malgun Gothic Semilight" w:eastAsia="Malgun Gothic Semilight" w:cs="Malgun Gothic Semilight"/>
        </w:rPr>
        <w:t>、</w:t>
      </w:r>
      <w:r>
        <w:rPr>
          <w:rFonts w:hint="eastAsia"/>
        </w:rPr>
        <w:t>应急演练</w:t>
      </w:r>
      <w:r>
        <w:rPr>
          <w:rFonts w:hint="eastAsia" w:ascii="Malgun Gothic Semilight" w:hAnsi="Malgun Gothic Semilight" w:eastAsia="Malgun Gothic Semilight" w:cs="Malgun Gothic Semilight"/>
        </w:rPr>
        <w:t>、</w:t>
      </w:r>
      <w:r>
        <w:rPr>
          <w:rFonts w:hint="eastAsia"/>
        </w:rPr>
        <w:t>安全培训服务</w:t>
      </w:r>
      <w:r>
        <w:rPr>
          <w:rFonts w:hint="eastAsia" w:ascii="Malgun Gothic Semilight" w:hAnsi="Malgun Gothic Semilight" w:eastAsia="Malgun Gothic Semilight" w:cs="Malgun Gothic Semilight"/>
        </w:rPr>
        <w:t>：</w:t>
      </w:r>
    </w:p>
    <w:p w14:paraId="5B6A1B2C">
      <w:pPr>
        <w:ind w:firstLine="485"/>
        <w:rPr>
          <w:rFonts w:hint="eastAsia" w:ascii="仿宋" w:hAnsi="仿宋" w:eastAsia="仿宋"/>
          <w:sz w:val="24"/>
        </w:rPr>
      </w:pPr>
      <w:r>
        <w:rPr>
          <w:rFonts w:hint="eastAsia" w:ascii="仿宋" w:hAnsi="仿宋" w:eastAsia="仿宋" w:cs="微软雅黑"/>
          <w:sz w:val="24"/>
        </w:rPr>
        <w:t>中标人在服务前后需提交</w:t>
      </w:r>
      <w:r>
        <w:rPr>
          <w:rFonts w:hint="eastAsia" w:ascii="仿宋" w:hAnsi="仿宋" w:eastAsia="仿宋" w:cs="Malgun Gothic Semilight"/>
          <w:sz w:val="24"/>
        </w:rPr>
        <w:t>《</w:t>
      </w:r>
      <w:r>
        <w:rPr>
          <w:rFonts w:hint="eastAsia" w:ascii="仿宋" w:hAnsi="仿宋" w:eastAsia="仿宋" w:cs="微软雅黑"/>
          <w:sz w:val="24"/>
        </w:rPr>
        <w:t>攻防应急演练方案</w:t>
      </w:r>
      <w:r>
        <w:rPr>
          <w:rFonts w:hint="eastAsia" w:ascii="仿宋" w:hAnsi="仿宋" w:eastAsia="仿宋" w:cs="Malgun Gothic Semilight"/>
          <w:sz w:val="24"/>
        </w:rPr>
        <w:t>》《</w:t>
      </w:r>
      <w:r>
        <w:rPr>
          <w:rFonts w:hint="eastAsia" w:ascii="仿宋" w:hAnsi="仿宋" w:eastAsia="仿宋" w:cs="微软雅黑"/>
          <w:sz w:val="24"/>
        </w:rPr>
        <w:t>攻防应急总结评估分析报告</w:t>
      </w:r>
      <w:r>
        <w:rPr>
          <w:rFonts w:hint="eastAsia" w:ascii="仿宋" w:hAnsi="仿宋" w:eastAsia="仿宋" w:cs="Malgun Gothic Semilight"/>
          <w:sz w:val="24"/>
        </w:rPr>
        <w:t>》</w:t>
      </w:r>
      <w:r>
        <w:rPr>
          <w:rFonts w:hint="eastAsia" w:ascii="仿宋" w:hAnsi="仿宋" w:eastAsia="仿宋" w:cs="微软雅黑"/>
          <w:sz w:val="24"/>
        </w:rPr>
        <w:t>以及</w:t>
      </w:r>
      <w:r>
        <w:rPr>
          <w:rFonts w:hint="eastAsia" w:ascii="仿宋" w:hAnsi="仿宋" w:eastAsia="仿宋" w:cs="Malgun Gothic Semilight"/>
          <w:sz w:val="24"/>
        </w:rPr>
        <w:t>《</w:t>
      </w:r>
      <w:r>
        <w:rPr>
          <w:rFonts w:hint="eastAsia" w:ascii="仿宋" w:hAnsi="仿宋" w:eastAsia="仿宋" w:cs="微软雅黑"/>
          <w:sz w:val="24"/>
        </w:rPr>
        <w:t>突发网络安全事件应急预案</w:t>
      </w:r>
      <w:r>
        <w:rPr>
          <w:rFonts w:hint="eastAsia" w:ascii="仿宋" w:hAnsi="仿宋" w:eastAsia="仿宋" w:cs="Malgun Gothic Semilight"/>
          <w:sz w:val="24"/>
        </w:rPr>
        <w:t>》。</w:t>
      </w:r>
    </w:p>
    <w:p w14:paraId="10A1591A">
      <w:pPr>
        <w:ind w:firstLine="485"/>
        <w:rPr>
          <w:rFonts w:hint="eastAsia" w:ascii="仿宋" w:hAnsi="仿宋" w:eastAsia="仿宋"/>
          <w:sz w:val="24"/>
        </w:rPr>
      </w:pPr>
      <w:r>
        <w:rPr>
          <w:rFonts w:hint="eastAsia" w:ascii="仿宋" w:hAnsi="仿宋" w:eastAsia="仿宋" w:cs="微软雅黑"/>
          <w:sz w:val="24"/>
        </w:rPr>
        <w:t>须提供至少一场全院网络安全现场培训</w:t>
      </w:r>
      <w:r>
        <w:rPr>
          <w:rFonts w:hint="eastAsia" w:ascii="仿宋" w:hAnsi="仿宋" w:eastAsia="仿宋" w:cs="Malgun Gothic Semilight"/>
          <w:sz w:val="24"/>
        </w:rPr>
        <w:t>，</w:t>
      </w:r>
      <w:r>
        <w:rPr>
          <w:rFonts w:hint="eastAsia" w:ascii="仿宋" w:hAnsi="仿宋" w:eastAsia="仿宋" w:cs="微软雅黑"/>
          <w:sz w:val="24"/>
        </w:rPr>
        <w:t>培训内容涵盖安全意识</w:t>
      </w:r>
      <w:r>
        <w:rPr>
          <w:rFonts w:hint="eastAsia" w:ascii="仿宋" w:hAnsi="仿宋" w:eastAsia="仿宋" w:cs="Malgun Gothic Semilight"/>
          <w:sz w:val="24"/>
        </w:rPr>
        <w:t>、</w:t>
      </w:r>
      <w:r>
        <w:rPr>
          <w:rFonts w:hint="eastAsia" w:ascii="仿宋" w:hAnsi="仿宋" w:eastAsia="仿宋" w:cs="微软雅黑"/>
          <w:sz w:val="24"/>
        </w:rPr>
        <w:t>安全技能等</w:t>
      </w:r>
      <w:r>
        <w:rPr>
          <w:rFonts w:hint="eastAsia" w:ascii="仿宋" w:hAnsi="仿宋" w:eastAsia="仿宋" w:cs="Malgun Gothic Semilight"/>
          <w:sz w:val="24"/>
        </w:rPr>
        <w:t>，</w:t>
      </w:r>
      <w:r>
        <w:rPr>
          <w:rFonts w:hint="eastAsia" w:ascii="仿宋" w:hAnsi="仿宋" w:eastAsia="仿宋" w:cs="微软雅黑"/>
          <w:sz w:val="24"/>
        </w:rPr>
        <w:t>提高医院网络安全建设和运维水平</w:t>
      </w:r>
      <w:r>
        <w:rPr>
          <w:rFonts w:hint="eastAsia" w:ascii="仿宋" w:hAnsi="仿宋" w:eastAsia="仿宋" w:cs="Malgun Gothic Semilight"/>
          <w:sz w:val="24"/>
        </w:rPr>
        <w:t>。</w:t>
      </w:r>
    </w:p>
    <w:p w14:paraId="18E4066D">
      <w:pPr>
        <w:ind w:firstLine="321"/>
        <w:rPr>
          <w:rFonts w:hint="eastAsia" w:ascii="宋体" w:hAnsi="宋体"/>
          <w:sz w:val="24"/>
        </w:rPr>
      </w:pPr>
    </w:p>
    <w:p w14:paraId="7ED73E1D">
      <w:pPr>
        <w:pStyle w:val="3"/>
        <w:rPr>
          <w:rFonts w:hint="eastAsia" w:ascii="宋体" w:hAnsi="宋体"/>
        </w:rPr>
      </w:pPr>
      <w:r>
        <w:rPr>
          <w:rFonts w:hint="eastAsia"/>
        </w:rPr>
        <w:t>重要时期安全保障服务</w:t>
      </w:r>
      <w:r>
        <w:rPr>
          <w:rFonts w:hint="eastAsia" w:ascii="Malgun Gothic Semilight" w:hAnsi="Malgun Gothic Semilight" w:eastAsia="Malgun Gothic Semilight" w:cs="Malgun Gothic Semilight"/>
        </w:rPr>
        <w:t>：</w:t>
      </w:r>
    </w:p>
    <w:p w14:paraId="2276D96B">
      <w:pPr>
        <w:ind w:firstLine="485"/>
        <w:rPr>
          <w:rFonts w:hint="eastAsia" w:ascii="仿宋" w:hAnsi="仿宋" w:eastAsia="仿宋"/>
          <w:sz w:val="24"/>
        </w:rPr>
      </w:pPr>
      <w:r>
        <w:rPr>
          <w:rFonts w:hint="eastAsia" w:ascii="仿宋" w:hAnsi="仿宋" w:eastAsia="仿宋" w:cs="微软雅黑"/>
          <w:sz w:val="24"/>
        </w:rPr>
        <w:t>提供至少</w:t>
      </w:r>
      <w:r>
        <w:rPr>
          <w:rFonts w:hint="eastAsia" w:ascii="仿宋" w:hAnsi="仿宋" w:eastAsia="仿宋"/>
          <w:sz w:val="24"/>
        </w:rPr>
        <w:t>3</w:t>
      </w:r>
      <w:r>
        <w:rPr>
          <w:rFonts w:hint="eastAsia" w:ascii="仿宋" w:hAnsi="仿宋" w:eastAsia="仿宋" w:cs="微软雅黑"/>
          <w:sz w:val="24"/>
        </w:rPr>
        <w:t>人</w:t>
      </w:r>
      <w:r>
        <w:rPr>
          <w:rFonts w:hint="eastAsia" w:ascii="仿宋" w:hAnsi="仿宋" w:eastAsia="仿宋"/>
          <w:sz w:val="24"/>
        </w:rPr>
        <w:t>/</w:t>
      </w:r>
      <w:r>
        <w:rPr>
          <w:rFonts w:hint="eastAsia" w:ascii="仿宋" w:hAnsi="仿宋" w:eastAsia="仿宋" w:cs="微软雅黑"/>
          <w:sz w:val="24"/>
        </w:rPr>
        <w:t>天</w:t>
      </w:r>
      <w:r>
        <w:rPr>
          <w:rFonts w:hint="eastAsia" w:ascii="仿宋" w:hAnsi="仿宋" w:eastAsia="仿宋" w:cs="Malgun Gothic Semilight"/>
          <w:sz w:val="24"/>
        </w:rPr>
        <w:t>（</w:t>
      </w:r>
      <w:r>
        <w:rPr>
          <w:rFonts w:hint="eastAsia" w:ascii="仿宋" w:hAnsi="仿宋" w:eastAsia="仿宋"/>
          <w:sz w:val="24"/>
        </w:rPr>
        <w:t>8</w:t>
      </w:r>
      <w:r>
        <w:rPr>
          <w:rFonts w:hint="eastAsia" w:ascii="仿宋" w:hAnsi="仿宋" w:eastAsia="仿宋" w:cs="微软雅黑"/>
          <w:sz w:val="24"/>
        </w:rPr>
        <w:t>小时</w:t>
      </w:r>
      <w:r>
        <w:rPr>
          <w:rFonts w:hint="eastAsia" w:ascii="仿宋" w:hAnsi="仿宋" w:eastAsia="仿宋" w:cs="Malgun Gothic Semilight"/>
          <w:sz w:val="24"/>
        </w:rPr>
        <w:t>）</w:t>
      </w:r>
      <w:r>
        <w:rPr>
          <w:rFonts w:hint="eastAsia" w:ascii="仿宋" w:hAnsi="仿宋" w:eastAsia="仿宋"/>
          <w:sz w:val="24"/>
        </w:rPr>
        <w:t>,1</w:t>
      </w:r>
      <w:r>
        <w:rPr>
          <w:rFonts w:hint="eastAsia" w:ascii="仿宋" w:hAnsi="仿宋" w:eastAsia="仿宋" w:cs="微软雅黑"/>
          <w:sz w:val="24"/>
        </w:rPr>
        <w:t>人</w:t>
      </w:r>
      <w:r>
        <w:rPr>
          <w:rFonts w:hint="eastAsia" w:ascii="仿宋" w:hAnsi="仿宋" w:eastAsia="仿宋"/>
          <w:sz w:val="24"/>
        </w:rPr>
        <w:t>/</w:t>
      </w:r>
      <w:r>
        <w:rPr>
          <w:rFonts w:hint="eastAsia" w:ascii="仿宋" w:hAnsi="仿宋" w:eastAsia="仿宋" w:cs="微软雅黑"/>
          <w:sz w:val="24"/>
        </w:rPr>
        <w:t>天</w:t>
      </w:r>
      <w:r>
        <w:rPr>
          <w:rFonts w:hint="eastAsia" w:ascii="仿宋" w:hAnsi="仿宋" w:eastAsia="仿宋"/>
          <w:sz w:val="24"/>
        </w:rPr>
        <w:t>(24</w:t>
      </w:r>
      <w:r>
        <w:rPr>
          <w:rFonts w:hint="eastAsia" w:ascii="仿宋" w:hAnsi="仿宋" w:eastAsia="仿宋" w:cs="微软雅黑"/>
          <w:sz w:val="24"/>
        </w:rPr>
        <w:t>小时</w:t>
      </w:r>
      <w:r>
        <w:rPr>
          <w:rFonts w:hint="eastAsia" w:ascii="仿宋" w:hAnsi="仿宋" w:eastAsia="仿宋"/>
          <w:sz w:val="24"/>
        </w:rPr>
        <w:t>)</w:t>
      </w:r>
      <w:r>
        <w:rPr>
          <w:rFonts w:hint="eastAsia" w:ascii="仿宋" w:hAnsi="仿宋" w:eastAsia="仿宋" w:cs="微软雅黑"/>
          <w:sz w:val="24"/>
        </w:rPr>
        <w:t>驻场服务</w:t>
      </w:r>
      <w:r>
        <w:rPr>
          <w:rFonts w:hint="eastAsia" w:ascii="仿宋" w:hAnsi="仿宋" w:eastAsia="仿宋" w:cs="Malgun Gothic Semilight"/>
          <w:sz w:val="24"/>
        </w:rPr>
        <w:t>。</w:t>
      </w:r>
    </w:p>
    <w:p w14:paraId="447FB384">
      <w:pPr>
        <w:ind w:firstLine="485"/>
        <w:rPr>
          <w:rFonts w:hint="eastAsia" w:ascii="仿宋" w:hAnsi="仿宋" w:eastAsia="仿宋"/>
          <w:sz w:val="24"/>
        </w:rPr>
      </w:pPr>
      <w:r>
        <w:rPr>
          <w:rFonts w:hint="eastAsia" w:ascii="仿宋" w:hAnsi="仿宋" w:eastAsia="仿宋" w:cs="微软雅黑"/>
          <w:sz w:val="24"/>
        </w:rPr>
        <w:t>投标人在服务前后须提交</w:t>
      </w:r>
      <w:r>
        <w:rPr>
          <w:rFonts w:hint="eastAsia" w:ascii="仿宋" w:hAnsi="仿宋" w:eastAsia="仿宋" w:cs="Malgun Gothic Semilight"/>
          <w:sz w:val="24"/>
        </w:rPr>
        <w:t>《</w:t>
      </w:r>
      <w:r>
        <w:rPr>
          <w:rFonts w:hint="eastAsia" w:ascii="仿宋" w:hAnsi="仿宋" w:eastAsia="仿宋" w:cs="微软雅黑"/>
          <w:sz w:val="24"/>
        </w:rPr>
        <w:t>重要时期安全保障服务方案</w:t>
      </w:r>
      <w:r>
        <w:rPr>
          <w:rFonts w:hint="eastAsia" w:ascii="仿宋" w:hAnsi="仿宋" w:eastAsia="仿宋" w:cs="Malgun Gothic Semilight"/>
          <w:sz w:val="24"/>
        </w:rPr>
        <w:t>》《</w:t>
      </w:r>
      <w:r>
        <w:rPr>
          <w:rFonts w:hint="eastAsia" w:ascii="仿宋" w:hAnsi="仿宋" w:eastAsia="仿宋" w:cs="微软雅黑"/>
          <w:sz w:val="24"/>
        </w:rPr>
        <w:t>重要时期安全保障服务工作总结</w:t>
      </w:r>
      <w:r>
        <w:rPr>
          <w:rFonts w:hint="eastAsia" w:ascii="仿宋" w:hAnsi="仿宋" w:eastAsia="仿宋" w:cs="Malgun Gothic Semilight"/>
          <w:sz w:val="24"/>
        </w:rPr>
        <w:t>》</w:t>
      </w:r>
    </w:p>
    <w:p w14:paraId="72169A07">
      <w:pPr>
        <w:pStyle w:val="3"/>
        <w:rPr>
          <w:rFonts w:hint="eastAsia" w:ascii="宋体" w:hAnsi="宋体"/>
        </w:rPr>
      </w:pPr>
      <w:r>
        <w:rPr>
          <w:rFonts w:hint="eastAsia"/>
        </w:rPr>
        <w:t>日常运维及监测服务</w:t>
      </w:r>
      <w:r>
        <w:rPr>
          <w:rFonts w:hint="eastAsia" w:ascii="Malgun Gothic Semilight" w:hAnsi="Malgun Gothic Semilight" w:eastAsia="Malgun Gothic Semilight" w:cs="Malgun Gothic Semilight"/>
        </w:rPr>
        <w:t>：</w:t>
      </w:r>
    </w:p>
    <w:p w14:paraId="681FFEE5">
      <w:pPr>
        <w:ind w:firstLine="485"/>
        <w:rPr>
          <w:rFonts w:hint="eastAsia" w:ascii="仿宋" w:hAnsi="仿宋" w:eastAsia="仿宋"/>
          <w:sz w:val="24"/>
        </w:rPr>
      </w:pPr>
      <w:r>
        <w:rPr>
          <w:rFonts w:hint="eastAsia" w:ascii="仿宋" w:hAnsi="仿宋" w:eastAsia="仿宋" w:cs="微软雅黑"/>
          <w:sz w:val="24"/>
        </w:rPr>
        <w:t>投标人每次巡检服务后提交</w:t>
      </w:r>
      <w:r>
        <w:rPr>
          <w:rFonts w:hint="eastAsia" w:ascii="仿宋" w:hAnsi="仿宋" w:eastAsia="仿宋" w:cs="Malgun Gothic Semilight"/>
          <w:sz w:val="24"/>
        </w:rPr>
        <w:t>《</w:t>
      </w:r>
      <w:r>
        <w:rPr>
          <w:rFonts w:hint="eastAsia" w:ascii="仿宋" w:hAnsi="仿宋" w:eastAsia="仿宋" w:cs="微软雅黑"/>
          <w:sz w:val="24"/>
        </w:rPr>
        <w:t>网络安全巡检报告</w:t>
      </w:r>
      <w:r>
        <w:rPr>
          <w:rFonts w:hint="eastAsia" w:ascii="仿宋" w:hAnsi="仿宋" w:eastAsia="仿宋" w:cs="Malgun Gothic Semilight"/>
          <w:sz w:val="24"/>
        </w:rPr>
        <w:t>》《</w:t>
      </w:r>
      <w:r>
        <w:rPr>
          <w:rFonts w:hint="eastAsia" w:ascii="仿宋" w:hAnsi="仿宋" w:eastAsia="仿宋" w:cs="微软雅黑"/>
          <w:sz w:val="24"/>
        </w:rPr>
        <w:t>网络安全监测报告</w:t>
      </w:r>
      <w:r>
        <w:rPr>
          <w:rFonts w:hint="eastAsia" w:ascii="仿宋" w:hAnsi="仿宋" w:eastAsia="仿宋" w:cs="Malgun Gothic Semilight"/>
          <w:sz w:val="24"/>
        </w:rPr>
        <w:t>》；</w:t>
      </w:r>
      <w:r>
        <w:rPr>
          <w:rFonts w:hint="eastAsia" w:ascii="仿宋" w:hAnsi="仿宋" w:eastAsia="仿宋" w:cs="微软雅黑"/>
          <w:sz w:val="24"/>
        </w:rPr>
        <w:t>每次对处理的安全事件提交</w:t>
      </w:r>
      <w:r>
        <w:rPr>
          <w:rFonts w:hint="eastAsia" w:ascii="仿宋" w:hAnsi="仿宋" w:eastAsia="仿宋" w:cs="Malgun Gothic Semilight"/>
          <w:sz w:val="24"/>
        </w:rPr>
        <w:t>《</w:t>
      </w:r>
      <w:r>
        <w:rPr>
          <w:rFonts w:hint="eastAsia" w:ascii="仿宋" w:hAnsi="仿宋" w:eastAsia="仿宋" w:cs="微软雅黑"/>
          <w:sz w:val="24"/>
        </w:rPr>
        <w:t>安全事件处置报告</w:t>
      </w:r>
      <w:r>
        <w:rPr>
          <w:rFonts w:hint="eastAsia" w:ascii="仿宋" w:hAnsi="仿宋" w:eastAsia="仿宋" w:cs="Malgun Gothic Semilight"/>
          <w:sz w:val="24"/>
        </w:rPr>
        <w:t>》</w:t>
      </w:r>
    </w:p>
    <w:p w14:paraId="2E8276E0">
      <w:pPr>
        <w:ind w:firstLine="485"/>
        <w:rPr>
          <w:rFonts w:hint="eastAsia" w:ascii="仿宋" w:hAnsi="仿宋" w:eastAsia="仿宋"/>
          <w:sz w:val="24"/>
        </w:rPr>
      </w:pPr>
      <w:r>
        <w:rPr>
          <w:rFonts w:hint="eastAsia" w:ascii="仿宋" w:hAnsi="仿宋" w:eastAsia="仿宋"/>
          <w:sz w:val="24"/>
        </w:rPr>
        <w:t>★</w:t>
      </w:r>
      <w:r>
        <w:rPr>
          <w:rFonts w:hint="eastAsia" w:ascii="仿宋" w:hAnsi="仿宋" w:eastAsia="仿宋" w:cs="微软雅黑"/>
          <w:sz w:val="24"/>
        </w:rPr>
        <w:t>提供的安全运营服务相关工具能够充分利用现有网络安全设备</w:t>
      </w:r>
      <w:r>
        <w:rPr>
          <w:rFonts w:hint="eastAsia" w:ascii="仿宋" w:hAnsi="仿宋" w:eastAsia="仿宋" w:cs="Malgun Gothic Semilight"/>
          <w:sz w:val="24"/>
        </w:rPr>
        <w:t>，</w:t>
      </w:r>
      <w:r>
        <w:rPr>
          <w:rFonts w:hint="eastAsia" w:ascii="仿宋" w:hAnsi="仿宋" w:eastAsia="仿宋" w:cs="微软雅黑"/>
          <w:sz w:val="24"/>
        </w:rPr>
        <w:t>实时监测网络安全状态</w:t>
      </w:r>
      <w:r>
        <w:rPr>
          <w:rFonts w:hint="eastAsia" w:ascii="仿宋" w:hAnsi="仿宋" w:eastAsia="仿宋" w:cs="Malgun Gothic Semilight"/>
          <w:sz w:val="24"/>
        </w:rPr>
        <w:t>，</w:t>
      </w:r>
      <w:r>
        <w:rPr>
          <w:rFonts w:hint="eastAsia" w:ascii="仿宋" w:hAnsi="仿宋" w:eastAsia="仿宋" w:cs="微软雅黑"/>
          <w:sz w:val="24"/>
        </w:rPr>
        <w:t>支持安全态势</w:t>
      </w:r>
      <w:r>
        <w:rPr>
          <w:rFonts w:hint="eastAsia" w:ascii="仿宋" w:hAnsi="仿宋" w:eastAsia="仿宋" w:cs="Malgun Gothic Semilight"/>
          <w:sz w:val="24"/>
        </w:rPr>
        <w:t>（</w:t>
      </w:r>
      <w:r>
        <w:rPr>
          <w:rFonts w:hint="eastAsia" w:ascii="仿宋" w:hAnsi="仿宋" w:eastAsia="仿宋" w:cs="微软雅黑"/>
          <w:sz w:val="24"/>
        </w:rPr>
        <w:t>威胁情报</w:t>
      </w:r>
      <w:r>
        <w:rPr>
          <w:rFonts w:hint="eastAsia" w:ascii="仿宋" w:hAnsi="仿宋" w:eastAsia="仿宋" w:cs="Malgun Gothic Semilight"/>
          <w:sz w:val="24"/>
        </w:rPr>
        <w:t>、</w:t>
      </w:r>
      <w:r>
        <w:rPr>
          <w:rFonts w:hint="eastAsia" w:ascii="仿宋" w:hAnsi="仿宋" w:eastAsia="仿宋" w:cs="微软雅黑"/>
          <w:sz w:val="24"/>
        </w:rPr>
        <w:t>漏洞等</w:t>
      </w:r>
      <w:r>
        <w:rPr>
          <w:rFonts w:hint="eastAsia" w:ascii="仿宋" w:hAnsi="仿宋" w:eastAsia="仿宋" w:cs="Malgun Gothic Semilight"/>
          <w:sz w:val="24"/>
        </w:rPr>
        <w:t>）</w:t>
      </w:r>
      <w:r>
        <w:rPr>
          <w:rFonts w:hint="eastAsia" w:ascii="仿宋" w:hAnsi="仿宋" w:eastAsia="仿宋" w:cs="微软雅黑"/>
          <w:sz w:val="24"/>
        </w:rPr>
        <w:t>展示</w:t>
      </w:r>
      <w:r>
        <w:rPr>
          <w:rFonts w:hint="eastAsia" w:ascii="仿宋" w:hAnsi="仿宋" w:eastAsia="仿宋" w:cs="Malgun Gothic Semilight"/>
          <w:sz w:val="24"/>
        </w:rPr>
        <w:t>，</w:t>
      </w:r>
      <w:r>
        <w:rPr>
          <w:rFonts w:hint="eastAsia" w:ascii="仿宋" w:hAnsi="仿宋" w:eastAsia="仿宋" w:cs="微软雅黑"/>
          <w:sz w:val="24"/>
        </w:rPr>
        <w:t>对攻击事件能够及时进行分析与实时告警</w:t>
      </w:r>
      <w:r>
        <w:rPr>
          <w:rFonts w:hint="eastAsia" w:ascii="仿宋" w:hAnsi="仿宋" w:eastAsia="仿宋" w:cs="Malgun Gothic Semilight"/>
          <w:sz w:val="24"/>
        </w:rPr>
        <w:t>，</w:t>
      </w:r>
      <w:r>
        <w:rPr>
          <w:rFonts w:hint="eastAsia" w:ascii="仿宋" w:hAnsi="仿宋" w:eastAsia="仿宋" w:cs="微软雅黑"/>
          <w:sz w:val="24"/>
        </w:rPr>
        <w:t>并能在紧急响应和处置</w:t>
      </w:r>
      <w:r>
        <w:rPr>
          <w:rFonts w:hint="eastAsia" w:ascii="仿宋" w:hAnsi="仿宋" w:eastAsia="仿宋" w:cs="Malgun Gothic Semilight"/>
          <w:sz w:val="24"/>
        </w:rPr>
        <w:t>。</w:t>
      </w:r>
    </w:p>
    <w:p w14:paraId="5E17477D">
      <w:pPr>
        <w:ind w:firstLine="485"/>
        <w:rPr>
          <w:rFonts w:hint="eastAsia" w:ascii="仿宋" w:hAnsi="仿宋" w:eastAsia="仿宋"/>
          <w:sz w:val="24"/>
        </w:rPr>
      </w:pPr>
      <w:r>
        <w:rPr>
          <w:rFonts w:hint="eastAsia" w:ascii="仿宋" w:hAnsi="仿宋" w:eastAsia="仿宋"/>
          <w:sz w:val="24"/>
        </w:rPr>
        <w:t>★</w:t>
      </w:r>
      <w:r>
        <w:rPr>
          <w:rFonts w:hint="eastAsia" w:ascii="仿宋" w:hAnsi="仿宋" w:eastAsia="仿宋" w:cs="微软雅黑"/>
          <w:sz w:val="24"/>
        </w:rPr>
        <w:t>投标人需提供服务质量可视化监控平台</w:t>
      </w:r>
      <w:r>
        <w:rPr>
          <w:rFonts w:hint="eastAsia" w:ascii="仿宋" w:hAnsi="仿宋" w:eastAsia="仿宋" w:cs="Malgun Gothic Semilight"/>
          <w:sz w:val="24"/>
        </w:rPr>
        <w:t>，</w:t>
      </w:r>
      <w:r>
        <w:rPr>
          <w:rFonts w:hint="eastAsia" w:ascii="仿宋" w:hAnsi="仿宋" w:eastAsia="仿宋" w:cs="微软雅黑"/>
          <w:sz w:val="24"/>
        </w:rPr>
        <w:t>至少包括脆弱性闭环率</w:t>
      </w:r>
      <w:r>
        <w:rPr>
          <w:rFonts w:hint="eastAsia" w:ascii="仿宋" w:hAnsi="仿宋" w:eastAsia="仿宋" w:cs="Malgun Gothic Semilight"/>
          <w:sz w:val="24"/>
        </w:rPr>
        <w:t>、</w:t>
      </w:r>
      <w:r>
        <w:rPr>
          <w:rFonts w:hint="eastAsia" w:ascii="仿宋" w:hAnsi="仿宋" w:eastAsia="仿宋" w:cs="微软雅黑"/>
          <w:sz w:val="24"/>
        </w:rPr>
        <w:t>脆弱性平均响应时长</w:t>
      </w:r>
      <w:r>
        <w:rPr>
          <w:rFonts w:hint="eastAsia" w:ascii="仿宋" w:hAnsi="仿宋" w:eastAsia="仿宋" w:cs="Malgun Gothic Semilight"/>
          <w:sz w:val="24"/>
        </w:rPr>
        <w:t>、</w:t>
      </w:r>
      <w:r>
        <w:rPr>
          <w:rFonts w:hint="eastAsia" w:ascii="仿宋" w:hAnsi="仿宋" w:eastAsia="仿宋" w:cs="微软雅黑"/>
          <w:sz w:val="24"/>
        </w:rPr>
        <w:t>脆弱性平均闭环时长</w:t>
      </w:r>
      <w:r>
        <w:rPr>
          <w:rFonts w:hint="eastAsia" w:ascii="仿宋" w:hAnsi="仿宋" w:eastAsia="仿宋" w:cs="Malgun Gothic Semilight"/>
          <w:sz w:val="24"/>
        </w:rPr>
        <w:t>、</w:t>
      </w:r>
      <w:r>
        <w:rPr>
          <w:rFonts w:hint="eastAsia" w:ascii="仿宋" w:hAnsi="仿宋" w:eastAsia="仿宋" w:cs="微软雅黑"/>
          <w:sz w:val="24"/>
        </w:rPr>
        <w:t>威胁闭环率</w:t>
      </w:r>
      <w:r>
        <w:rPr>
          <w:rFonts w:hint="eastAsia" w:ascii="仿宋" w:hAnsi="仿宋" w:eastAsia="仿宋" w:cs="Malgun Gothic Semilight"/>
          <w:sz w:val="24"/>
        </w:rPr>
        <w:t>、</w:t>
      </w:r>
      <w:r>
        <w:rPr>
          <w:rFonts w:hint="eastAsia" w:ascii="仿宋" w:hAnsi="仿宋" w:eastAsia="仿宋" w:cs="微软雅黑"/>
          <w:sz w:val="24"/>
        </w:rPr>
        <w:t>威胁平均响应时长</w:t>
      </w:r>
      <w:r>
        <w:rPr>
          <w:rFonts w:hint="eastAsia" w:ascii="仿宋" w:hAnsi="仿宋" w:eastAsia="仿宋" w:cs="Malgun Gothic Semilight"/>
          <w:sz w:val="24"/>
        </w:rPr>
        <w:t>、</w:t>
      </w:r>
      <w:r>
        <w:rPr>
          <w:rFonts w:hint="eastAsia" w:ascii="仿宋" w:hAnsi="仿宋" w:eastAsia="仿宋" w:cs="微软雅黑"/>
          <w:sz w:val="24"/>
        </w:rPr>
        <w:t>威胁平均闭环时长</w:t>
      </w:r>
      <w:r>
        <w:rPr>
          <w:rFonts w:hint="eastAsia" w:ascii="仿宋" w:hAnsi="仿宋" w:eastAsia="仿宋" w:cs="Malgun Gothic Semilight"/>
          <w:sz w:val="24"/>
        </w:rPr>
        <w:t>、</w:t>
      </w:r>
      <w:r>
        <w:rPr>
          <w:rFonts w:hint="eastAsia" w:ascii="仿宋" w:hAnsi="仿宋" w:eastAsia="仿宋" w:cs="微软雅黑"/>
          <w:sz w:val="24"/>
        </w:rPr>
        <w:t>安全事件闭环率</w:t>
      </w:r>
      <w:r>
        <w:rPr>
          <w:rFonts w:hint="eastAsia" w:ascii="仿宋" w:hAnsi="仿宋" w:eastAsia="仿宋" w:cs="Malgun Gothic Semilight"/>
          <w:sz w:val="24"/>
        </w:rPr>
        <w:t>、</w:t>
      </w:r>
      <w:r>
        <w:rPr>
          <w:rFonts w:hint="eastAsia" w:ascii="仿宋" w:hAnsi="仿宋" w:eastAsia="仿宋" w:cs="微软雅黑"/>
          <w:sz w:val="24"/>
        </w:rPr>
        <w:t>安全事件平均闭环时长</w:t>
      </w:r>
      <w:r>
        <w:rPr>
          <w:rFonts w:hint="eastAsia" w:ascii="仿宋" w:hAnsi="仿宋" w:eastAsia="仿宋" w:cs="Malgun Gothic Semilight"/>
          <w:sz w:val="24"/>
        </w:rPr>
        <w:t>。</w:t>
      </w:r>
    </w:p>
    <w:p w14:paraId="3E1E77A1">
      <w:pPr>
        <w:ind w:firstLine="485"/>
        <w:rPr>
          <w:rFonts w:hint="eastAsia" w:ascii="仿宋" w:hAnsi="仿宋" w:eastAsia="仿宋" w:cs="Malgun Gothic Semilight"/>
          <w:sz w:val="24"/>
        </w:rPr>
      </w:pPr>
      <w:r>
        <w:rPr>
          <w:rFonts w:hint="eastAsia" w:ascii="仿宋" w:hAnsi="仿宋" w:eastAsia="仿宋"/>
          <w:sz w:val="24"/>
        </w:rPr>
        <w:t>★</w:t>
      </w:r>
      <w:r>
        <w:rPr>
          <w:rFonts w:hint="eastAsia" w:ascii="仿宋" w:hAnsi="仿宋" w:eastAsia="仿宋" w:cs="微软雅黑"/>
          <w:sz w:val="24"/>
        </w:rPr>
        <w:t>以上投标人需要提供的服务工具要求详见</w:t>
      </w:r>
      <w:r>
        <w:rPr>
          <w:rFonts w:hint="eastAsia" w:ascii="仿宋" w:hAnsi="仿宋" w:eastAsia="仿宋" w:cs="Malgun Gothic Semilight"/>
          <w:sz w:val="24"/>
        </w:rPr>
        <w:t>《</w:t>
      </w:r>
      <w:r>
        <w:rPr>
          <w:rFonts w:hint="eastAsia" w:ascii="仿宋" w:hAnsi="仿宋" w:eastAsia="仿宋" w:cs="微软雅黑"/>
          <w:sz w:val="24"/>
        </w:rPr>
        <w:t>流量探针服务工具要求</w:t>
      </w:r>
      <w:r>
        <w:rPr>
          <w:rFonts w:hint="eastAsia" w:ascii="仿宋" w:hAnsi="仿宋" w:eastAsia="仿宋" w:cs="Malgun Gothic Semilight"/>
          <w:sz w:val="24"/>
        </w:rPr>
        <w:t>》《</w:t>
      </w:r>
      <w:r>
        <w:rPr>
          <w:rFonts w:hint="eastAsia" w:ascii="仿宋" w:hAnsi="仿宋" w:eastAsia="仿宋" w:cs="微软雅黑"/>
          <w:sz w:val="24"/>
        </w:rPr>
        <w:t>安全感知服务工具要求</w:t>
      </w:r>
      <w:r>
        <w:rPr>
          <w:rFonts w:hint="eastAsia" w:ascii="仿宋" w:hAnsi="仿宋" w:eastAsia="仿宋" w:cs="Malgun Gothic Semilight"/>
          <w:sz w:val="24"/>
        </w:rPr>
        <w:t>》</w:t>
      </w:r>
    </w:p>
    <w:p w14:paraId="31E02093">
      <w:pPr>
        <w:pStyle w:val="3"/>
        <w:rPr>
          <w:rFonts w:hint="eastAsia" w:ascii="宋体" w:hAnsi="宋体"/>
        </w:rPr>
      </w:pPr>
      <w:r>
        <w:rPr>
          <w:rFonts w:hint="eastAsia"/>
        </w:rPr>
        <w:t>应急响应服务</w:t>
      </w:r>
    </w:p>
    <w:p w14:paraId="7E4E6D02">
      <w:pPr>
        <w:ind w:firstLine="485"/>
        <w:rPr>
          <w:rFonts w:hint="eastAsia" w:ascii="仿宋" w:hAnsi="仿宋" w:eastAsia="仿宋"/>
          <w:sz w:val="24"/>
        </w:rPr>
      </w:pPr>
      <w:r>
        <w:rPr>
          <w:rFonts w:hint="eastAsia" w:ascii="仿宋" w:hAnsi="仿宋" w:eastAsia="仿宋" w:cs="微软雅黑"/>
          <w:sz w:val="24"/>
        </w:rPr>
        <w:t>每次对处理的安全事件提交</w:t>
      </w:r>
      <w:r>
        <w:rPr>
          <w:rFonts w:hint="eastAsia" w:ascii="仿宋" w:hAnsi="仿宋" w:eastAsia="仿宋" w:cs="Malgun Gothic Semilight"/>
          <w:sz w:val="24"/>
        </w:rPr>
        <w:t>《</w:t>
      </w:r>
      <w:r>
        <w:rPr>
          <w:rFonts w:hint="eastAsia" w:ascii="仿宋" w:hAnsi="仿宋" w:eastAsia="仿宋" w:cs="微软雅黑"/>
          <w:sz w:val="24"/>
        </w:rPr>
        <w:t>安全事件应急响应报告</w:t>
      </w:r>
      <w:r>
        <w:rPr>
          <w:rFonts w:hint="eastAsia" w:ascii="仿宋" w:hAnsi="仿宋" w:eastAsia="仿宋" w:cs="Malgun Gothic Semilight"/>
          <w:sz w:val="24"/>
        </w:rPr>
        <w:t>》《</w:t>
      </w:r>
      <w:r>
        <w:rPr>
          <w:rFonts w:hint="eastAsia" w:ascii="仿宋" w:hAnsi="仿宋" w:eastAsia="仿宋" w:cs="微软雅黑"/>
          <w:sz w:val="24"/>
        </w:rPr>
        <w:t>应急响应服务确认单</w:t>
      </w:r>
      <w:r>
        <w:rPr>
          <w:rFonts w:hint="eastAsia" w:ascii="仿宋" w:hAnsi="仿宋" w:eastAsia="仿宋" w:cs="Malgun Gothic Semilight"/>
          <w:sz w:val="24"/>
        </w:rPr>
        <w:t>》；</w:t>
      </w:r>
      <w:r>
        <w:rPr>
          <w:rFonts w:hint="eastAsia" w:ascii="仿宋" w:hAnsi="仿宋" w:eastAsia="仿宋" w:cs="微软雅黑"/>
          <w:sz w:val="24"/>
        </w:rPr>
        <w:t>每季度提交</w:t>
      </w:r>
      <w:r>
        <w:rPr>
          <w:rFonts w:hint="eastAsia" w:ascii="仿宋" w:hAnsi="仿宋" w:eastAsia="仿宋" w:cs="Malgun Gothic Semilight"/>
          <w:sz w:val="24"/>
        </w:rPr>
        <w:t>《</w:t>
      </w:r>
      <w:r>
        <w:rPr>
          <w:rFonts w:hint="eastAsia" w:ascii="仿宋" w:hAnsi="仿宋" w:eastAsia="仿宋" w:cs="微软雅黑"/>
          <w:sz w:val="24"/>
        </w:rPr>
        <w:t>安全运营报告</w:t>
      </w:r>
      <w:r>
        <w:rPr>
          <w:rFonts w:hint="eastAsia" w:ascii="仿宋" w:hAnsi="仿宋" w:eastAsia="仿宋" w:cs="Malgun Gothic Semilight"/>
          <w:sz w:val="24"/>
        </w:rPr>
        <w:t>》，</w:t>
      </w:r>
      <w:r>
        <w:rPr>
          <w:rFonts w:hint="eastAsia" w:ascii="仿宋" w:hAnsi="仿宋" w:eastAsia="仿宋" w:cs="微软雅黑"/>
          <w:sz w:val="24"/>
        </w:rPr>
        <w:t>年度汇总形成</w:t>
      </w:r>
      <w:r>
        <w:rPr>
          <w:rFonts w:hint="eastAsia" w:ascii="仿宋" w:hAnsi="仿宋" w:eastAsia="仿宋" w:cs="Malgun Gothic Semilight"/>
          <w:sz w:val="24"/>
        </w:rPr>
        <w:t>《</w:t>
      </w:r>
      <w:r>
        <w:rPr>
          <w:rFonts w:hint="eastAsia" w:ascii="仿宋" w:hAnsi="仿宋" w:eastAsia="仿宋" w:cs="微软雅黑"/>
          <w:sz w:val="24"/>
        </w:rPr>
        <w:t>年度网络安全综合报告</w:t>
      </w:r>
      <w:r>
        <w:rPr>
          <w:rFonts w:hint="eastAsia" w:ascii="仿宋" w:hAnsi="仿宋" w:eastAsia="仿宋" w:cs="Malgun Gothic Semilight"/>
          <w:sz w:val="24"/>
        </w:rPr>
        <w:t>》。</w:t>
      </w:r>
    </w:p>
    <w:p w14:paraId="21B8DC1E">
      <w:pPr>
        <w:ind w:firstLine="485"/>
        <w:rPr>
          <w:rFonts w:hint="eastAsia" w:ascii="仿宋" w:hAnsi="仿宋" w:eastAsia="仿宋" w:cs="Malgun Gothic Semilight"/>
          <w:sz w:val="24"/>
        </w:rPr>
      </w:pPr>
      <w:r>
        <w:rPr>
          <w:rFonts w:hint="eastAsia" w:ascii="仿宋" w:hAnsi="仿宋" w:eastAsia="仿宋" w:cs="微软雅黑"/>
          <w:sz w:val="24"/>
        </w:rPr>
        <w:t>供应商有提供安全事件闭环能力</w:t>
      </w:r>
      <w:r>
        <w:rPr>
          <w:rFonts w:hint="eastAsia" w:ascii="仿宋" w:hAnsi="仿宋" w:eastAsia="仿宋" w:cs="Malgun Gothic Semilight"/>
          <w:sz w:val="24"/>
        </w:rPr>
        <w:t>，</w:t>
      </w:r>
      <w:r>
        <w:rPr>
          <w:rFonts w:hint="eastAsia" w:ascii="仿宋" w:hAnsi="仿宋" w:eastAsia="仿宋" w:cs="微软雅黑"/>
          <w:sz w:val="24"/>
        </w:rPr>
        <w:t>要求供应商具有</w:t>
      </w:r>
      <w:r>
        <w:rPr>
          <w:rFonts w:hint="eastAsia" w:ascii="仿宋" w:hAnsi="仿宋" w:eastAsia="仿宋"/>
          <w:sz w:val="24"/>
        </w:rPr>
        <w:t>CISP、</w:t>
      </w:r>
      <w:r>
        <w:rPr>
          <w:rFonts w:hint="eastAsia" w:ascii="仿宋" w:hAnsi="仿宋" w:eastAsia="仿宋" w:cs="微软雅黑"/>
          <w:sz w:val="24"/>
        </w:rPr>
        <w:t>高级网络信息安全工程师</w:t>
      </w:r>
      <w:r>
        <w:rPr>
          <w:rFonts w:hint="eastAsia" w:ascii="仿宋" w:hAnsi="仿宋" w:eastAsia="仿宋"/>
          <w:sz w:val="24"/>
        </w:rPr>
        <w:t>\</w:t>
      </w:r>
      <w:r>
        <w:rPr>
          <w:rFonts w:hint="eastAsia" w:ascii="仿宋" w:hAnsi="仿宋" w:eastAsia="仿宋" w:cs="微软雅黑"/>
          <w:sz w:val="24"/>
        </w:rPr>
        <w:t>数据库系统工程师</w:t>
      </w:r>
      <w:r>
        <w:rPr>
          <w:rFonts w:hint="eastAsia" w:ascii="仿宋" w:hAnsi="仿宋" w:eastAsia="仿宋" w:cs="Malgun Gothic Semilight"/>
          <w:sz w:val="24"/>
        </w:rPr>
        <w:t>、</w:t>
      </w:r>
      <w:r>
        <w:rPr>
          <w:rFonts w:hint="eastAsia" w:ascii="仿宋" w:hAnsi="仿宋" w:eastAsia="仿宋" w:cs="微软雅黑"/>
          <w:sz w:val="24"/>
        </w:rPr>
        <w:t>信息系统运维管理工程师等相关的工程师及其证书</w:t>
      </w:r>
      <w:r>
        <w:rPr>
          <w:rFonts w:hint="eastAsia" w:ascii="仿宋" w:hAnsi="仿宋" w:eastAsia="仿宋" w:cs="Malgun Gothic Semilight"/>
          <w:sz w:val="24"/>
        </w:rPr>
        <w:t>。</w:t>
      </w:r>
    </w:p>
    <w:p w14:paraId="4BE11E13">
      <w:pPr>
        <w:pStyle w:val="3"/>
      </w:pPr>
      <w:r>
        <w:rPr>
          <w:rFonts w:hint="eastAsia"/>
        </w:rPr>
        <w:t>MSS安全托管服务</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8287"/>
      </w:tblGrid>
      <w:tr w14:paraId="2D3C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44" w:type="pct"/>
            <w:shd w:val="clear" w:color="auto" w:fill="auto"/>
            <w:vAlign w:val="center"/>
          </w:tcPr>
          <w:p w14:paraId="164B9B11">
            <w:pPr>
              <w:widowControl/>
              <w:adjustRightInd w:val="0"/>
              <w:snapToGrid w:val="0"/>
              <w:spacing w:line="240" w:lineRule="auto"/>
              <w:ind w:firstLine="200" w:firstLineChars="83"/>
              <w:rPr>
                <w:rFonts w:hint="eastAsia" w:ascii="仿宋" w:hAnsi="仿宋" w:eastAsia="仿宋" w:cs="宋体"/>
                <w:b/>
                <w:kern w:val="0"/>
                <w:sz w:val="24"/>
              </w:rPr>
            </w:pPr>
            <w:r>
              <w:rPr>
                <w:rFonts w:hint="eastAsia" w:ascii="仿宋" w:hAnsi="仿宋" w:eastAsia="仿宋" w:cs="宋体"/>
                <w:b/>
                <w:kern w:val="0"/>
                <w:sz w:val="24"/>
              </w:rPr>
              <w:t>类型</w:t>
            </w:r>
          </w:p>
        </w:tc>
        <w:tc>
          <w:tcPr>
            <w:tcW w:w="4255" w:type="pct"/>
            <w:shd w:val="clear" w:color="auto" w:fill="auto"/>
            <w:vAlign w:val="center"/>
          </w:tcPr>
          <w:p w14:paraId="6D889EAF">
            <w:pPr>
              <w:widowControl/>
              <w:adjustRightInd w:val="0"/>
              <w:snapToGrid w:val="0"/>
              <w:spacing w:line="240" w:lineRule="auto"/>
              <w:ind w:firstLine="487"/>
              <w:jc w:val="center"/>
              <w:rPr>
                <w:rFonts w:hint="eastAsia" w:ascii="仿宋" w:hAnsi="仿宋" w:eastAsia="仿宋" w:cs="宋体"/>
                <w:b/>
                <w:kern w:val="0"/>
                <w:sz w:val="24"/>
              </w:rPr>
            </w:pPr>
            <w:r>
              <w:rPr>
                <w:rFonts w:hint="eastAsia" w:ascii="仿宋" w:hAnsi="仿宋" w:eastAsia="仿宋" w:cs="宋体"/>
                <w:b/>
                <w:kern w:val="0"/>
                <w:sz w:val="24"/>
              </w:rPr>
              <w:t>内容及要求</w:t>
            </w:r>
          </w:p>
        </w:tc>
      </w:tr>
      <w:tr w14:paraId="5909F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44" w:type="pct"/>
            <w:vAlign w:val="center"/>
          </w:tcPr>
          <w:p w14:paraId="07D35D9A">
            <w:pPr>
              <w:widowControl/>
              <w:snapToGrid w:val="0"/>
              <w:spacing w:line="240" w:lineRule="auto"/>
              <w:ind w:firstLine="0" w:firstLineChars="0"/>
              <w:rPr>
                <w:rFonts w:hint="eastAsia" w:ascii="仿宋" w:hAnsi="仿宋" w:eastAsia="仿宋" w:cs="宋体"/>
                <w:color w:val="000000"/>
                <w:kern w:val="0"/>
                <w:sz w:val="24"/>
              </w:rPr>
            </w:pPr>
            <w:r>
              <w:rPr>
                <w:rFonts w:hint="eastAsia" w:ascii="仿宋" w:hAnsi="仿宋" w:eastAsia="仿宋" w:cs="宋体"/>
                <w:color w:val="000000"/>
                <w:kern w:val="0"/>
                <w:sz w:val="24"/>
              </w:rPr>
              <w:t>资产数量</w:t>
            </w:r>
          </w:p>
        </w:tc>
        <w:tc>
          <w:tcPr>
            <w:tcW w:w="4255" w:type="pct"/>
            <w:vAlign w:val="center"/>
          </w:tcPr>
          <w:p w14:paraId="52BA8841">
            <w:pPr>
              <w:widowControl/>
              <w:snapToGrid w:val="0"/>
              <w:spacing w:line="240" w:lineRule="auto"/>
              <w:ind w:firstLine="485"/>
              <w:rPr>
                <w:rFonts w:hint="eastAsia" w:ascii="仿宋" w:hAnsi="仿宋" w:eastAsia="仿宋" w:cs="宋体"/>
                <w:b/>
                <w:bCs/>
                <w:color w:val="000000"/>
                <w:kern w:val="0"/>
                <w:sz w:val="24"/>
              </w:rPr>
            </w:pPr>
            <w:r>
              <w:rPr>
                <w:rFonts w:hint="eastAsia" w:ascii="仿宋" w:hAnsi="仿宋" w:eastAsia="仿宋" w:cs="宋体"/>
                <w:color w:val="000000"/>
                <w:kern w:val="0"/>
                <w:sz w:val="24"/>
              </w:rPr>
              <w:t>▲本次服务共10个信息系统资产，需</w:t>
            </w:r>
            <w:r>
              <w:rPr>
                <w:rFonts w:hint="eastAsia" w:ascii="仿宋" w:hAnsi="仿宋" w:eastAsia="仿宋" w:cs="宋体"/>
                <w:sz w:val="24"/>
              </w:rPr>
              <w:t>提供7*24小时安全服务，对目标范围内的信息系统服务资产，持续开展资产安全、脆弱性、威胁、安全事件管理服务。</w:t>
            </w:r>
          </w:p>
        </w:tc>
      </w:tr>
      <w:tr w14:paraId="4BC3F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44" w:type="pct"/>
            <w:vMerge w:val="restart"/>
            <w:vAlign w:val="center"/>
          </w:tcPr>
          <w:p w14:paraId="6F889796">
            <w:pPr>
              <w:widowControl/>
              <w:snapToGrid w:val="0"/>
              <w:spacing w:line="240" w:lineRule="auto"/>
              <w:ind w:firstLine="0" w:firstLineChars="0"/>
              <w:rPr>
                <w:rFonts w:hint="eastAsia" w:ascii="仿宋" w:hAnsi="仿宋" w:eastAsia="仿宋" w:cs="宋体"/>
                <w:color w:val="000000"/>
                <w:kern w:val="0"/>
                <w:sz w:val="24"/>
              </w:rPr>
            </w:pPr>
            <w:r>
              <w:rPr>
                <w:rFonts w:hint="eastAsia" w:ascii="仿宋" w:hAnsi="仿宋" w:eastAsia="仿宋" w:cs="宋体"/>
                <w:color w:val="000000"/>
                <w:kern w:val="0"/>
                <w:sz w:val="24"/>
              </w:rPr>
              <w:t>首次安全评估</w:t>
            </w:r>
          </w:p>
        </w:tc>
        <w:tc>
          <w:tcPr>
            <w:tcW w:w="4255" w:type="pct"/>
            <w:vAlign w:val="center"/>
          </w:tcPr>
          <w:p w14:paraId="662C479B">
            <w:pPr>
              <w:widowControl/>
              <w:snapToGrid w:val="0"/>
              <w:spacing w:line="240" w:lineRule="auto"/>
              <w:ind w:firstLine="485"/>
              <w:rPr>
                <w:rFonts w:hint="eastAsia" w:ascii="仿宋" w:hAnsi="仿宋" w:eastAsia="仿宋" w:cs="宋体"/>
                <w:color w:val="000000"/>
                <w:kern w:val="0"/>
                <w:sz w:val="24"/>
              </w:rPr>
            </w:pPr>
            <w:r>
              <w:rPr>
                <w:rFonts w:hint="eastAsia" w:ascii="仿宋" w:hAnsi="仿宋" w:eastAsia="仿宋" w:cs="宋体"/>
                <w:color w:val="000000"/>
                <w:kern w:val="0"/>
                <w:sz w:val="24"/>
              </w:rPr>
              <w:t>暴露面梳理：投标方应使用安全工具对招标方服务资产开展互联网暴露面探测，以梳理资产面向互联网的开放情况，快速发现违规暴露在互联网中的资产及存在的风险并进行处置，实现对暴露面资产可管可控，降低暴露面资产的风险。</w:t>
            </w:r>
          </w:p>
        </w:tc>
      </w:tr>
      <w:tr w14:paraId="456F0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44" w:type="pct"/>
            <w:vMerge w:val="continue"/>
            <w:vAlign w:val="center"/>
          </w:tcPr>
          <w:p w14:paraId="38035C0F">
            <w:pPr>
              <w:widowControl/>
              <w:snapToGrid w:val="0"/>
              <w:spacing w:line="240" w:lineRule="auto"/>
              <w:ind w:firstLine="485"/>
              <w:jc w:val="center"/>
              <w:rPr>
                <w:rFonts w:hint="eastAsia" w:ascii="仿宋" w:hAnsi="仿宋" w:eastAsia="仿宋" w:cs="宋体"/>
                <w:color w:val="000000"/>
                <w:kern w:val="0"/>
                <w:sz w:val="24"/>
              </w:rPr>
            </w:pPr>
          </w:p>
        </w:tc>
        <w:tc>
          <w:tcPr>
            <w:tcW w:w="4255" w:type="pct"/>
            <w:vAlign w:val="center"/>
          </w:tcPr>
          <w:p w14:paraId="73EF7BD8">
            <w:pPr>
              <w:widowControl/>
              <w:snapToGrid w:val="0"/>
              <w:spacing w:line="240" w:lineRule="auto"/>
              <w:ind w:firstLine="485"/>
              <w:rPr>
                <w:rFonts w:hint="eastAsia" w:ascii="仿宋" w:hAnsi="仿宋" w:eastAsia="仿宋" w:cs="宋体"/>
                <w:color w:val="000000"/>
                <w:kern w:val="0"/>
                <w:sz w:val="24"/>
              </w:rPr>
            </w:pPr>
            <w:r>
              <w:rPr>
                <w:rFonts w:hint="eastAsia" w:ascii="仿宋" w:hAnsi="仿宋" w:eastAsia="仿宋" w:cs="宋体"/>
                <w:color w:val="000000"/>
                <w:kern w:val="0"/>
                <w:sz w:val="24"/>
              </w:rPr>
              <w:t>★投标方应具备互联网暴露面梳理的服务工具，该工具应当支持全资产和精确资产两种模式暴露资产收集模式，收集到的暴露面信息至少包括域名、域名标题、IP地址、开放端口、资产指纹、网站截图、移动端暴露面，并且能采集对应暴露资产的访问截图向招标方举证，及对应暴露资产存在的漏洞</w:t>
            </w:r>
            <w:r>
              <w:rPr>
                <w:rFonts w:hint="eastAsia" w:ascii="仿宋" w:hAnsi="仿宋" w:eastAsia="仿宋" w:cs="宋体"/>
                <w:b/>
                <w:bCs/>
                <w:color w:val="000000"/>
                <w:kern w:val="0"/>
                <w:sz w:val="24"/>
              </w:rPr>
              <w:t>【</w:t>
            </w:r>
            <w:r>
              <w:rPr>
                <w:rFonts w:hint="eastAsia" w:ascii="仿宋" w:hAnsi="仿宋" w:eastAsia="仿宋" w:cs="宋体"/>
                <w:color w:val="000000"/>
                <w:kern w:val="0"/>
                <w:sz w:val="24"/>
              </w:rPr>
              <w:t>提供服务工具具备以上暴露面梳理能力的证明截图</w:t>
            </w:r>
            <w:r>
              <w:rPr>
                <w:rFonts w:hint="eastAsia" w:ascii="仿宋" w:hAnsi="仿宋" w:eastAsia="仿宋" w:cs="宋体"/>
                <w:b/>
                <w:bCs/>
                <w:color w:val="000000"/>
                <w:kern w:val="0"/>
                <w:sz w:val="24"/>
              </w:rPr>
              <w:t>】</w:t>
            </w:r>
          </w:p>
        </w:tc>
      </w:tr>
      <w:tr w14:paraId="2096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44" w:type="pct"/>
            <w:vMerge w:val="restart"/>
            <w:vAlign w:val="center"/>
          </w:tcPr>
          <w:p w14:paraId="4FD9B7C0">
            <w:pPr>
              <w:widowControl/>
              <w:snapToGrid w:val="0"/>
              <w:spacing w:line="240" w:lineRule="auto"/>
              <w:ind w:firstLine="0" w:firstLineChars="0"/>
              <w:rPr>
                <w:rFonts w:hint="eastAsia" w:ascii="仿宋" w:hAnsi="仿宋" w:eastAsia="仿宋" w:cs="宋体"/>
                <w:color w:val="000000"/>
                <w:kern w:val="0"/>
                <w:sz w:val="24"/>
              </w:rPr>
            </w:pPr>
            <w:r>
              <w:rPr>
                <w:rFonts w:hint="eastAsia" w:ascii="仿宋" w:hAnsi="仿宋" w:eastAsia="仿宋" w:cs="宋体"/>
                <w:color w:val="000000"/>
                <w:kern w:val="0"/>
                <w:sz w:val="24"/>
              </w:rPr>
              <w:t>威胁管理</w:t>
            </w:r>
          </w:p>
        </w:tc>
        <w:tc>
          <w:tcPr>
            <w:tcW w:w="4255" w:type="pct"/>
            <w:vAlign w:val="center"/>
          </w:tcPr>
          <w:p w14:paraId="6E6B2C7F">
            <w:pPr>
              <w:widowControl/>
              <w:snapToGrid w:val="0"/>
              <w:spacing w:line="240" w:lineRule="auto"/>
              <w:ind w:firstLine="487"/>
              <w:rPr>
                <w:rFonts w:hint="eastAsia" w:ascii="仿宋" w:hAnsi="仿宋" w:eastAsia="仿宋" w:cs="宋体"/>
                <w:color w:val="000000"/>
                <w:kern w:val="0"/>
                <w:sz w:val="24"/>
              </w:rPr>
            </w:pPr>
            <w:r>
              <w:rPr>
                <w:rFonts w:hint="eastAsia" w:ascii="仿宋" w:hAnsi="仿宋" w:eastAsia="仿宋" w:cs="宋体"/>
                <w:b/>
                <w:bCs/>
                <w:color w:val="000000"/>
                <w:kern w:val="0"/>
                <w:sz w:val="24"/>
              </w:rPr>
              <w:t>7*24小时威胁鉴定：</w:t>
            </w:r>
            <w:r>
              <w:rPr>
                <w:rFonts w:hint="eastAsia" w:ascii="仿宋" w:hAnsi="仿宋" w:eastAsia="仿宋" w:cs="宋体"/>
                <w:color w:val="000000"/>
                <w:kern w:val="0"/>
                <w:sz w:val="24"/>
              </w:rPr>
              <w:t>投标方应当具备云端检测和分析平台，通过采集招标方安全设备和工具的安全告警和安全日志，结合大数据分析、人工智能等技术手段，为招标方提供7*24小时持续不间断的安全威胁分析鉴定，同时在用户界面进行展示；</w:t>
            </w:r>
          </w:p>
        </w:tc>
      </w:tr>
      <w:tr w14:paraId="42474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44" w:type="pct"/>
            <w:vMerge w:val="continue"/>
            <w:vAlign w:val="center"/>
          </w:tcPr>
          <w:p w14:paraId="57F3C460">
            <w:pPr>
              <w:widowControl/>
              <w:snapToGrid w:val="0"/>
              <w:spacing w:line="240" w:lineRule="auto"/>
              <w:ind w:firstLine="485"/>
              <w:rPr>
                <w:rFonts w:hint="eastAsia" w:ascii="仿宋" w:hAnsi="仿宋" w:eastAsia="仿宋" w:cs="宋体"/>
                <w:color w:val="000000"/>
                <w:kern w:val="0"/>
                <w:sz w:val="24"/>
              </w:rPr>
            </w:pPr>
          </w:p>
        </w:tc>
        <w:tc>
          <w:tcPr>
            <w:tcW w:w="4255" w:type="pct"/>
            <w:vAlign w:val="center"/>
          </w:tcPr>
          <w:p w14:paraId="3DC178E2">
            <w:pPr>
              <w:widowControl/>
              <w:snapToGrid w:val="0"/>
              <w:spacing w:line="240" w:lineRule="auto"/>
              <w:ind w:firstLine="487"/>
              <w:rPr>
                <w:rFonts w:hint="eastAsia" w:ascii="仿宋" w:hAnsi="仿宋" w:eastAsia="仿宋" w:cs="宋体"/>
                <w:color w:val="000000"/>
                <w:kern w:val="0"/>
                <w:sz w:val="24"/>
              </w:rPr>
            </w:pPr>
            <w:r>
              <w:rPr>
                <w:rFonts w:hint="eastAsia" w:ascii="仿宋" w:hAnsi="仿宋" w:eastAsia="仿宋" w:cs="宋体"/>
                <w:b/>
                <w:bCs/>
                <w:color w:val="000000"/>
                <w:kern w:val="0"/>
                <w:sz w:val="24"/>
              </w:rPr>
              <w:t>个性化的检测规则定制：</w:t>
            </w:r>
            <w:r>
              <w:rPr>
                <w:rFonts w:hint="eastAsia" w:ascii="仿宋" w:hAnsi="仿宋" w:eastAsia="仿宋" w:cs="宋体"/>
                <w:color w:val="000000"/>
                <w:kern w:val="0"/>
                <w:sz w:val="24"/>
              </w:rPr>
              <w:t>为了保证安全监测的准确率和服务质量，投标方应当支持为招标方自定义配置安全规则，以满足日益复杂的安全趋势所带来的安全监测需求；</w:t>
            </w:r>
          </w:p>
        </w:tc>
      </w:tr>
      <w:tr w14:paraId="4C76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44" w:type="pct"/>
            <w:vMerge w:val="continue"/>
            <w:vAlign w:val="center"/>
          </w:tcPr>
          <w:p w14:paraId="42713DA4">
            <w:pPr>
              <w:widowControl/>
              <w:snapToGrid w:val="0"/>
              <w:spacing w:line="240" w:lineRule="auto"/>
              <w:ind w:firstLine="485"/>
              <w:rPr>
                <w:rFonts w:hint="eastAsia" w:ascii="仿宋" w:hAnsi="仿宋" w:eastAsia="仿宋" w:cs="宋体"/>
                <w:color w:val="000000"/>
                <w:kern w:val="0"/>
                <w:sz w:val="24"/>
              </w:rPr>
            </w:pPr>
          </w:p>
        </w:tc>
        <w:tc>
          <w:tcPr>
            <w:tcW w:w="4255" w:type="pct"/>
            <w:vAlign w:val="center"/>
          </w:tcPr>
          <w:p w14:paraId="0D568D48">
            <w:pPr>
              <w:widowControl/>
              <w:snapToGrid w:val="0"/>
              <w:spacing w:line="240" w:lineRule="auto"/>
              <w:ind w:firstLine="487"/>
              <w:rPr>
                <w:rFonts w:hint="eastAsia" w:ascii="仿宋" w:hAnsi="仿宋" w:eastAsia="仿宋" w:cs="宋体"/>
                <w:color w:val="000000"/>
                <w:kern w:val="0"/>
                <w:sz w:val="24"/>
              </w:rPr>
            </w:pPr>
            <w:r>
              <w:rPr>
                <w:rFonts w:hint="eastAsia" w:ascii="仿宋" w:hAnsi="仿宋" w:eastAsia="仿宋" w:cs="宋体"/>
                <w:b/>
                <w:bCs/>
                <w:color w:val="000000"/>
                <w:kern w:val="0"/>
                <w:sz w:val="24"/>
              </w:rPr>
              <w:t>受影响资产排查与加固：</w:t>
            </w:r>
            <w:r>
              <w:rPr>
                <w:rFonts w:hint="eastAsia" w:ascii="仿宋" w:hAnsi="仿宋" w:eastAsia="仿宋" w:cs="宋体"/>
                <w:color w:val="000000"/>
                <w:kern w:val="0"/>
                <w:sz w:val="24"/>
              </w:rPr>
              <w:t>安全专家应当结合威胁情报主动排查是否对服务资产造成影响并通知用户，及时协助进行安全加固。</w:t>
            </w:r>
            <w:r>
              <w:rPr>
                <w:rFonts w:hint="eastAsia" w:ascii="仿宋" w:hAnsi="仿宋" w:eastAsia="仿宋" w:cs="宋体"/>
                <w:b/>
                <w:bCs/>
                <w:color w:val="000000"/>
                <w:kern w:val="0"/>
                <w:sz w:val="24"/>
              </w:rPr>
              <w:t>【</w:t>
            </w:r>
            <w:r>
              <w:rPr>
                <w:rFonts w:hint="eastAsia" w:ascii="仿宋" w:hAnsi="仿宋" w:eastAsia="仿宋" w:cs="宋体"/>
                <w:color w:val="000000"/>
                <w:kern w:val="0"/>
                <w:sz w:val="24"/>
              </w:rPr>
              <w:t>提供一个威胁情报的安全通报工单，工单内容包含威胁情报的基本信息和推送信息以及跟进记录，要求明确说明关联资产信息的排查情况</w:t>
            </w:r>
            <w:r>
              <w:rPr>
                <w:rFonts w:hint="eastAsia" w:ascii="仿宋" w:hAnsi="仿宋" w:eastAsia="仿宋" w:cs="宋体"/>
                <w:b/>
                <w:bCs/>
                <w:color w:val="000000"/>
                <w:kern w:val="0"/>
                <w:sz w:val="24"/>
              </w:rPr>
              <w:t>】</w:t>
            </w:r>
          </w:p>
        </w:tc>
      </w:tr>
      <w:tr w14:paraId="3CC38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44" w:type="pct"/>
            <w:vMerge w:val="continue"/>
            <w:vAlign w:val="center"/>
          </w:tcPr>
          <w:p w14:paraId="7F242F39">
            <w:pPr>
              <w:widowControl/>
              <w:snapToGrid w:val="0"/>
              <w:spacing w:line="240" w:lineRule="auto"/>
              <w:ind w:firstLine="485"/>
              <w:rPr>
                <w:rFonts w:hint="eastAsia" w:ascii="仿宋" w:hAnsi="仿宋" w:eastAsia="仿宋" w:cs="宋体"/>
                <w:color w:val="000000"/>
                <w:kern w:val="0"/>
                <w:sz w:val="24"/>
              </w:rPr>
            </w:pPr>
          </w:p>
        </w:tc>
        <w:tc>
          <w:tcPr>
            <w:tcW w:w="4255" w:type="pct"/>
            <w:vAlign w:val="center"/>
          </w:tcPr>
          <w:p w14:paraId="2A348AF4">
            <w:pPr>
              <w:widowControl/>
              <w:snapToGrid w:val="0"/>
              <w:spacing w:line="240" w:lineRule="auto"/>
              <w:ind w:firstLine="487"/>
              <w:rPr>
                <w:rFonts w:hint="eastAsia" w:ascii="仿宋" w:hAnsi="仿宋" w:eastAsia="仿宋" w:cs="宋体"/>
                <w:color w:val="000000"/>
                <w:kern w:val="0"/>
                <w:sz w:val="24"/>
              </w:rPr>
            </w:pPr>
            <w:r>
              <w:rPr>
                <w:rFonts w:hint="eastAsia" w:ascii="仿宋" w:hAnsi="仿宋" w:eastAsia="仿宋" w:cs="宋体"/>
                <w:b/>
                <w:bCs/>
                <w:color w:val="000000"/>
                <w:kern w:val="0"/>
                <w:sz w:val="24"/>
              </w:rPr>
              <w:t>★安全策略检查：</w:t>
            </w:r>
            <w:r>
              <w:rPr>
                <w:rFonts w:hint="eastAsia" w:ascii="仿宋" w:hAnsi="仿宋" w:eastAsia="仿宋" w:cs="宋体"/>
                <w:color w:val="000000"/>
                <w:kern w:val="0"/>
                <w:sz w:val="24"/>
              </w:rPr>
              <w:t>投标方安全专家每月对招标方的安全设备的防护策略进行检查，确保安全设备上的安全策略始终处于最优水平，针对威胁能起到最好的防护效果。投标方云端服务平台应当具备丰富的策略检查工具（要求不少于40种策略检查的工具），支持排查安全设备防护策略配置的合理性。</w:t>
            </w:r>
            <w:r>
              <w:rPr>
                <w:rFonts w:hint="eastAsia" w:ascii="仿宋" w:hAnsi="仿宋" w:eastAsia="仿宋" w:cs="宋体"/>
                <w:b/>
                <w:bCs/>
                <w:color w:val="000000"/>
                <w:kern w:val="0"/>
                <w:sz w:val="24"/>
              </w:rPr>
              <w:t>【</w:t>
            </w:r>
            <w:r>
              <w:rPr>
                <w:rFonts w:hint="eastAsia" w:ascii="仿宋" w:hAnsi="仿宋" w:eastAsia="仿宋" w:cs="宋体"/>
                <w:color w:val="000000"/>
                <w:kern w:val="0"/>
                <w:sz w:val="24"/>
              </w:rPr>
              <w:t>提供投标方云端服务平台策略检查工具的截图证明，证明具备上述能力</w:t>
            </w:r>
            <w:r>
              <w:rPr>
                <w:rFonts w:hint="eastAsia" w:ascii="仿宋" w:hAnsi="仿宋" w:eastAsia="仿宋" w:cs="宋体"/>
                <w:b/>
                <w:bCs/>
                <w:color w:val="000000"/>
                <w:kern w:val="0"/>
                <w:sz w:val="24"/>
              </w:rPr>
              <w:t>】</w:t>
            </w:r>
          </w:p>
        </w:tc>
      </w:tr>
      <w:tr w14:paraId="4415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44" w:type="pct"/>
            <w:vMerge w:val="restart"/>
            <w:vAlign w:val="center"/>
          </w:tcPr>
          <w:p w14:paraId="33FFA738">
            <w:pPr>
              <w:widowControl/>
              <w:snapToGrid w:val="0"/>
              <w:spacing w:line="240" w:lineRule="auto"/>
              <w:ind w:firstLine="0" w:firstLineChars="0"/>
              <w:rPr>
                <w:rFonts w:hint="eastAsia" w:ascii="仿宋" w:hAnsi="仿宋" w:eastAsia="仿宋" w:cs="宋体"/>
                <w:color w:val="000000"/>
                <w:kern w:val="0"/>
                <w:sz w:val="24"/>
              </w:rPr>
            </w:pPr>
            <w:r>
              <w:rPr>
                <w:rFonts w:hint="eastAsia" w:ascii="仿宋" w:hAnsi="仿宋" w:eastAsia="仿宋" w:cs="宋体"/>
                <w:color w:val="000000"/>
                <w:kern w:val="0"/>
                <w:sz w:val="24"/>
              </w:rPr>
              <w:t>7*24H的服务团队</w:t>
            </w:r>
          </w:p>
        </w:tc>
        <w:tc>
          <w:tcPr>
            <w:tcW w:w="4255" w:type="pct"/>
            <w:vAlign w:val="center"/>
          </w:tcPr>
          <w:p w14:paraId="71BEE9A1">
            <w:pPr>
              <w:widowControl/>
              <w:snapToGrid w:val="0"/>
              <w:spacing w:line="240" w:lineRule="auto"/>
              <w:ind w:firstLine="485"/>
              <w:rPr>
                <w:rFonts w:hint="eastAsia" w:ascii="仿宋" w:hAnsi="仿宋" w:eastAsia="仿宋" w:cs="宋体"/>
                <w:color w:val="000000"/>
                <w:kern w:val="0"/>
                <w:sz w:val="24"/>
              </w:rPr>
            </w:pPr>
            <w:r>
              <w:rPr>
                <w:rFonts w:hint="eastAsia" w:ascii="仿宋" w:hAnsi="仿宋" w:eastAsia="仿宋" w:cs="宋体"/>
                <w:color w:val="000000"/>
                <w:kern w:val="0"/>
                <w:sz w:val="24"/>
              </w:rPr>
              <w:t>为了保障服务质量和加强投标方与招标方的沟通，投标方应当承诺为招标方配置一名经验丰富的安全专家作为专属服务经理，并且实时响应投标方咨询的网络安全相关问题；</w:t>
            </w:r>
          </w:p>
        </w:tc>
      </w:tr>
      <w:tr w14:paraId="1A27A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44" w:type="pct"/>
            <w:vMerge w:val="continue"/>
            <w:vAlign w:val="center"/>
          </w:tcPr>
          <w:p w14:paraId="1198D120">
            <w:pPr>
              <w:widowControl/>
              <w:snapToGrid w:val="0"/>
              <w:spacing w:line="240" w:lineRule="auto"/>
              <w:ind w:firstLine="485"/>
              <w:rPr>
                <w:rFonts w:hint="eastAsia" w:ascii="仿宋" w:hAnsi="仿宋" w:eastAsia="仿宋" w:cs="宋体"/>
                <w:color w:val="000000"/>
                <w:kern w:val="0"/>
                <w:sz w:val="24"/>
              </w:rPr>
            </w:pPr>
          </w:p>
        </w:tc>
        <w:tc>
          <w:tcPr>
            <w:tcW w:w="4255" w:type="pct"/>
            <w:vAlign w:val="center"/>
          </w:tcPr>
          <w:p w14:paraId="2E9B62BC">
            <w:pPr>
              <w:widowControl/>
              <w:snapToGrid w:val="0"/>
              <w:spacing w:line="240" w:lineRule="auto"/>
              <w:ind w:firstLine="485"/>
              <w:rPr>
                <w:rFonts w:hint="eastAsia" w:ascii="仿宋" w:hAnsi="仿宋" w:eastAsia="仿宋" w:cs="宋体"/>
                <w:color w:val="000000"/>
                <w:kern w:val="0"/>
                <w:sz w:val="24"/>
              </w:rPr>
            </w:pPr>
            <w:r>
              <w:rPr>
                <w:rFonts w:hint="eastAsia" w:ascii="仿宋" w:hAnsi="仿宋" w:eastAsia="仿宋" w:cs="宋体"/>
                <w:color w:val="000000"/>
                <w:kern w:val="0"/>
                <w:sz w:val="24"/>
              </w:rPr>
              <w:t>投标方应当为招标方提供7*24小时的安全守护，不论是白天、黑夜、节假日投标方都应该能做到7*24H在线服务，并且在节假日期间应当每日为招标方提供《节假日值守总结》。</w:t>
            </w:r>
          </w:p>
        </w:tc>
      </w:tr>
      <w:tr w14:paraId="19DB2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744" w:type="pct"/>
            <w:vAlign w:val="center"/>
          </w:tcPr>
          <w:p w14:paraId="7DAFEAF4">
            <w:pPr>
              <w:widowControl/>
              <w:snapToGrid w:val="0"/>
              <w:spacing w:line="240" w:lineRule="auto"/>
              <w:ind w:firstLine="0" w:firstLineChars="0"/>
              <w:rPr>
                <w:rFonts w:hint="eastAsia" w:ascii="仿宋" w:hAnsi="仿宋" w:eastAsia="仿宋" w:cs="宋体"/>
                <w:color w:val="000000"/>
                <w:kern w:val="0"/>
                <w:sz w:val="24"/>
              </w:rPr>
            </w:pPr>
            <w:r>
              <w:rPr>
                <w:rFonts w:hint="eastAsia" w:ascii="仿宋" w:hAnsi="仿宋" w:eastAsia="仿宋" w:cs="宋体"/>
                <w:color w:val="000000"/>
                <w:kern w:val="0"/>
                <w:sz w:val="24"/>
              </w:rPr>
              <w:t>服务指标要求</w:t>
            </w:r>
          </w:p>
        </w:tc>
        <w:tc>
          <w:tcPr>
            <w:tcW w:w="4255" w:type="pct"/>
            <w:shd w:val="clear" w:color="auto" w:fill="auto"/>
            <w:vAlign w:val="center"/>
          </w:tcPr>
          <w:p w14:paraId="60D57EC3">
            <w:pPr>
              <w:widowControl/>
              <w:snapToGrid w:val="0"/>
              <w:spacing w:line="240" w:lineRule="auto"/>
              <w:ind w:firstLine="485"/>
              <w:rPr>
                <w:rFonts w:hint="eastAsia" w:ascii="仿宋" w:hAnsi="仿宋" w:eastAsia="仿宋" w:cs="宋体"/>
                <w:color w:val="000000"/>
                <w:kern w:val="0"/>
                <w:sz w:val="24"/>
              </w:rPr>
            </w:pPr>
            <w:r>
              <w:rPr>
                <w:rFonts w:hint="eastAsia" w:ascii="仿宋" w:hAnsi="仿宋" w:eastAsia="仿宋" w:cs="宋体"/>
                <w:color w:val="000000"/>
                <w:kern w:val="0"/>
                <w:sz w:val="24"/>
              </w:rPr>
              <w:t>★为了降低招标方因网络安全事件造成的损失和影响，投标方应当按照以下服务指标和要求为招标方提供服务：</w:t>
            </w:r>
          </w:p>
          <w:p w14:paraId="796CDCDF">
            <w:pPr>
              <w:widowControl/>
              <w:snapToGrid w:val="0"/>
              <w:spacing w:line="240" w:lineRule="auto"/>
              <w:ind w:firstLine="485"/>
              <w:rPr>
                <w:rFonts w:hint="eastAsia" w:ascii="仿宋" w:hAnsi="仿宋" w:eastAsia="仿宋" w:cs="宋体"/>
                <w:color w:val="000000"/>
                <w:kern w:val="0"/>
                <w:sz w:val="24"/>
              </w:rPr>
            </w:pPr>
            <w:r>
              <w:rPr>
                <w:rFonts w:hint="eastAsia" w:ascii="仿宋" w:hAnsi="仿宋" w:eastAsia="仿宋" w:cs="宋体"/>
                <w:color w:val="000000"/>
                <w:kern w:val="0"/>
                <w:sz w:val="24"/>
              </w:rPr>
              <w:t>(1)分析研判通知时效MTTA：从安全日志上传分析研判到通告给招标方的时间方面，按照国家标准对安全事件的分类分级指南，重大安全事件通告时间小于15分钟，一般事件的通告时间少于30分钟；</w:t>
            </w:r>
          </w:p>
          <w:p w14:paraId="606255A4">
            <w:pPr>
              <w:widowControl/>
              <w:snapToGrid w:val="0"/>
              <w:spacing w:line="240" w:lineRule="auto"/>
              <w:ind w:firstLine="485"/>
              <w:rPr>
                <w:rFonts w:hint="eastAsia" w:ascii="仿宋" w:hAnsi="仿宋" w:eastAsia="仿宋" w:cs="宋体"/>
                <w:color w:val="000000"/>
                <w:kern w:val="0"/>
                <w:sz w:val="24"/>
              </w:rPr>
            </w:pPr>
            <w:r>
              <w:rPr>
                <w:rFonts w:hint="eastAsia" w:ascii="仿宋" w:hAnsi="仿宋" w:eastAsia="仿宋" w:cs="宋体"/>
                <w:color w:val="000000"/>
                <w:kern w:val="0"/>
                <w:sz w:val="24"/>
              </w:rPr>
              <w:t>(2)安全事件经过投标方服务人员的确认后，通告给招标方的各类安全事件的准确率不低于99%（即误报不能超过1%）；</w:t>
            </w:r>
            <w:r>
              <w:rPr>
                <w:rFonts w:ascii="仿宋" w:hAnsi="仿宋" w:eastAsia="仿宋" w:cs="宋体"/>
                <w:color w:val="000000"/>
                <w:kern w:val="0"/>
                <w:sz w:val="24"/>
              </w:rPr>
              <w:br w:type="textWrapping"/>
            </w:r>
            <w:r>
              <w:rPr>
                <w:rFonts w:hint="eastAsia" w:ascii="仿宋" w:hAnsi="仿宋" w:eastAsia="仿宋" w:cs="宋体"/>
                <w:color w:val="000000"/>
                <w:kern w:val="0"/>
                <w:sz w:val="24"/>
              </w:rPr>
              <w:t>(3)投标方应当承诺攻击成功事件0漏报，服务人员至少发现攻击链路上的一个攻击行为。</w:t>
            </w:r>
            <w:r>
              <w:rPr>
                <w:rFonts w:ascii="仿宋" w:hAnsi="仿宋" w:eastAsia="仿宋" w:cs="宋体"/>
                <w:color w:val="000000"/>
                <w:kern w:val="0"/>
                <w:sz w:val="24"/>
              </w:rPr>
              <w:br w:type="textWrapping"/>
            </w:r>
            <w:r>
              <w:rPr>
                <w:rFonts w:hint="eastAsia" w:ascii="仿宋" w:hAnsi="仿宋" w:eastAsia="仿宋" w:cs="宋体"/>
                <w:color w:val="000000"/>
                <w:kern w:val="0"/>
                <w:sz w:val="24"/>
              </w:rPr>
              <w:t>(4)投标方应当承诺，服务范围内的所有安全事件的闭环处置比例达到100%。</w:t>
            </w:r>
            <w:r>
              <w:rPr>
                <w:rFonts w:ascii="仿宋" w:hAnsi="仿宋" w:eastAsia="仿宋" w:cs="宋体"/>
                <w:color w:val="000000"/>
                <w:kern w:val="0"/>
                <w:sz w:val="24"/>
              </w:rPr>
              <w:br w:type="textWrapping"/>
            </w:r>
            <w:r>
              <w:rPr>
                <w:rFonts w:hint="eastAsia" w:ascii="仿宋" w:hAnsi="仿宋" w:eastAsia="仿宋" w:cs="宋体"/>
                <w:color w:val="000000"/>
                <w:kern w:val="0"/>
                <w:sz w:val="24"/>
              </w:rPr>
              <w:t>(5)投标方应当满足重大事故应启动应急响应机制，工作时间15分钟之内云端专家进行响应，非工作时间30分钟之内云端专家进行响应，省会2小时上门处置，省内8小时上门处置。</w:t>
            </w:r>
          </w:p>
          <w:p w14:paraId="377C4D85">
            <w:pPr>
              <w:widowControl/>
              <w:snapToGrid w:val="0"/>
              <w:spacing w:line="240" w:lineRule="auto"/>
              <w:ind w:firstLine="485"/>
              <w:rPr>
                <w:rFonts w:hint="eastAsia" w:ascii="仿宋" w:hAnsi="仿宋" w:eastAsia="仿宋" w:cs="宋体"/>
                <w:color w:val="000000"/>
                <w:kern w:val="0"/>
                <w:sz w:val="24"/>
              </w:rPr>
            </w:pPr>
            <w:r>
              <w:rPr>
                <w:rFonts w:hint="eastAsia" w:ascii="仿宋" w:hAnsi="仿宋" w:eastAsia="仿宋" w:cs="宋体"/>
                <w:color w:val="000000"/>
                <w:kern w:val="0"/>
                <w:sz w:val="24"/>
              </w:rPr>
              <w:t>(6)事件闭环时间MTTR：经招标方授权后，投标方服务人员协助进行安全事件的闭环，一般安全事件的闭环完成时间少于8小时，重大事件的闭环完成时间少于24小时；</w:t>
            </w:r>
          </w:p>
          <w:p w14:paraId="36B6B219">
            <w:pPr>
              <w:widowControl/>
              <w:snapToGrid w:val="0"/>
              <w:spacing w:line="240" w:lineRule="auto"/>
              <w:ind w:firstLine="487"/>
              <w:rPr>
                <w:rFonts w:hint="eastAsia" w:ascii="仿宋" w:hAnsi="仿宋" w:eastAsia="仿宋" w:cs="宋体"/>
                <w:color w:val="000000"/>
                <w:kern w:val="0"/>
                <w:sz w:val="24"/>
              </w:rPr>
            </w:pPr>
            <w:r>
              <w:rPr>
                <w:rFonts w:hint="eastAsia" w:ascii="仿宋" w:hAnsi="仿宋" w:eastAsia="仿宋" w:cs="宋体"/>
                <w:b/>
                <w:bCs/>
                <w:color w:val="000000"/>
                <w:kern w:val="0"/>
                <w:sz w:val="24"/>
              </w:rPr>
              <w:t>【</w:t>
            </w:r>
            <w:r>
              <w:rPr>
                <w:rFonts w:hint="eastAsia" w:ascii="仿宋" w:hAnsi="仿宋" w:eastAsia="仿宋" w:cs="宋体"/>
                <w:color w:val="000000"/>
                <w:kern w:val="0"/>
                <w:sz w:val="24"/>
              </w:rPr>
              <w:t>要求投标方对标以上服务指标可否满足进行应答，需提供服务承诺函</w:t>
            </w:r>
            <w:r>
              <w:rPr>
                <w:rFonts w:hint="eastAsia" w:ascii="仿宋" w:hAnsi="仿宋" w:eastAsia="仿宋" w:cs="宋体"/>
                <w:b/>
                <w:bCs/>
                <w:color w:val="000000"/>
                <w:kern w:val="0"/>
                <w:sz w:val="24"/>
              </w:rPr>
              <w:t>】</w:t>
            </w:r>
          </w:p>
        </w:tc>
      </w:tr>
      <w:tr w14:paraId="17F5F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744" w:type="pct"/>
            <w:vMerge w:val="restart"/>
            <w:vAlign w:val="center"/>
          </w:tcPr>
          <w:p w14:paraId="077B9943">
            <w:pPr>
              <w:widowControl/>
              <w:snapToGrid w:val="0"/>
              <w:spacing w:line="240" w:lineRule="auto"/>
              <w:ind w:firstLine="0" w:firstLineChars="0"/>
              <w:rPr>
                <w:rFonts w:hint="eastAsia" w:ascii="仿宋" w:hAnsi="仿宋" w:eastAsia="仿宋" w:cs="宋体"/>
                <w:color w:val="000000"/>
                <w:kern w:val="0"/>
                <w:sz w:val="24"/>
              </w:rPr>
            </w:pPr>
            <w:r>
              <w:rPr>
                <w:rFonts w:hint="eastAsia" w:ascii="仿宋" w:hAnsi="仿宋" w:eastAsia="仿宋" w:cs="宋体"/>
                <w:color w:val="000000"/>
                <w:kern w:val="0"/>
                <w:sz w:val="24"/>
              </w:rPr>
              <w:t>服务成果可视化（用户portal页面）</w:t>
            </w:r>
          </w:p>
        </w:tc>
        <w:tc>
          <w:tcPr>
            <w:tcW w:w="4255" w:type="pct"/>
            <w:shd w:val="clear" w:color="auto" w:fill="auto"/>
            <w:vAlign w:val="center"/>
          </w:tcPr>
          <w:p w14:paraId="2BB348A0">
            <w:pPr>
              <w:widowControl/>
              <w:snapToGrid w:val="0"/>
              <w:spacing w:line="240" w:lineRule="auto"/>
              <w:ind w:firstLine="485"/>
              <w:rPr>
                <w:rFonts w:hint="eastAsia" w:ascii="仿宋" w:hAnsi="仿宋" w:eastAsia="仿宋" w:cs="宋体"/>
                <w:b/>
                <w:bCs/>
                <w:color w:val="000000"/>
                <w:kern w:val="0"/>
                <w:sz w:val="24"/>
              </w:rPr>
            </w:pPr>
            <w:r>
              <w:rPr>
                <w:rFonts w:hint="eastAsia" w:ascii="仿宋" w:hAnsi="仿宋" w:eastAsia="仿宋" w:cs="宋体"/>
                <w:color w:val="000000"/>
                <w:kern w:val="0"/>
                <w:sz w:val="24"/>
              </w:rPr>
              <w:t>★服务质量监控：投标方需为招标方提供的服务成果展示门户（或用户Portal）应具备服务质量可视化展示，投标方能通过可视化的数据，清晰的了解安全专家的服务水平，至少包括脆弱性闭环率、脆弱性平均响应时长、脆弱性平均闭环时长、威胁闭环率、威胁平均响应时长、威胁平均闭环时长、事件闭环率、事件平均闭环时长，以验证投标方所承诺的服务指标（或称为服务SLA）。</w:t>
            </w:r>
            <w:r>
              <w:rPr>
                <w:rFonts w:hint="eastAsia" w:ascii="仿宋" w:hAnsi="仿宋" w:eastAsia="仿宋" w:cs="宋体"/>
                <w:b/>
                <w:bCs/>
                <w:color w:val="000000"/>
                <w:kern w:val="0"/>
                <w:sz w:val="24"/>
              </w:rPr>
              <w:t>【</w:t>
            </w:r>
            <w:r>
              <w:rPr>
                <w:rFonts w:hint="eastAsia" w:ascii="仿宋" w:hAnsi="仿宋" w:eastAsia="仿宋" w:cs="宋体"/>
                <w:color w:val="000000"/>
                <w:kern w:val="0"/>
                <w:sz w:val="24"/>
              </w:rPr>
              <w:t>提供服务成果展示门户中服务质量监控相关的截图证明</w:t>
            </w:r>
            <w:r>
              <w:rPr>
                <w:rFonts w:hint="eastAsia" w:ascii="仿宋" w:hAnsi="仿宋" w:eastAsia="仿宋" w:cs="宋体"/>
                <w:b/>
                <w:bCs/>
                <w:color w:val="000000"/>
                <w:kern w:val="0"/>
                <w:sz w:val="24"/>
              </w:rPr>
              <w:t>】</w:t>
            </w:r>
          </w:p>
        </w:tc>
      </w:tr>
      <w:tr w14:paraId="493A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744" w:type="pct"/>
            <w:vMerge w:val="continue"/>
            <w:vAlign w:val="center"/>
          </w:tcPr>
          <w:p w14:paraId="534B9ED7">
            <w:pPr>
              <w:widowControl/>
              <w:snapToGrid w:val="0"/>
              <w:spacing w:line="240" w:lineRule="auto"/>
              <w:ind w:firstLine="485"/>
              <w:rPr>
                <w:rFonts w:hint="eastAsia" w:ascii="仿宋" w:hAnsi="仿宋" w:eastAsia="仿宋" w:cs="宋体"/>
                <w:color w:val="000000"/>
                <w:kern w:val="0"/>
                <w:sz w:val="24"/>
              </w:rPr>
            </w:pPr>
          </w:p>
        </w:tc>
        <w:tc>
          <w:tcPr>
            <w:tcW w:w="4255" w:type="pct"/>
            <w:shd w:val="clear" w:color="auto" w:fill="auto"/>
            <w:vAlign w:val="center"/>
          </w:tcPr>
          <w:p w14:paraId="1719861C">
            <w:pPr>
              <w:widowControl/>
              <w:snapToGrid w:val="0"/>
              <w:spacing w:line="240" w:lineRule="auto"/>
              <w:ind w:firstLine="485"/>
              <w:rPr>
                <w:rFonts w:hint="eastAsia" w:ascii="仿宋" w:hAnsi="仿宋" w:eastAsia="仿宋" w:cs="宋体"/>
                <w:b/>
                <w:bCs/>
                <w:color w:val="000000"/>
                <w:kern w:val="0"/>
                <w:sz w:val="24"/>
              </w:rPr>
            </w:pPr>
            <w:r>
              <w:rPr>
                <w:rFonts w:hint="eastAsia" w:ascii="仿宋" w:hAnsi="仿宋" w:eastAsia="仿宋" w:cs="宋体"/>
                <w:color w:val="000000"/>
                <w:kern w:val="0"/>
                <w:sz w:val="24"/>
              </w:rPr>
              <w:t>服务交付物管理：投标方需为招标方提供的服务成果展示门户（或用户Portal），可以直观的管理服务过程中生产的服务报告和交付物，包括但不限于《准备阶段文件》、《特殊时期值守报告》、《运营周报》、《运营月报》、《运营季报》、《威胁情报》、《年度汇报》、《事件总结报告》；</w:t>
            </w:r>
          </w:p>
        </w:tc>
      </w:tr>
      <w:tr w14:paraId="4760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744" w:type="pct"/>
            <w:vMerge w:val="restart"/>
            <w:vAlign w:val="center"/>
          </w:tcPr>
          <w:p w14:paraId="67EB9137">
            <w:pPr>
              <w:widowControl/>
              <w:snapToGrid w:val="0"/>
              <w:spacing w:line="240" w:lineRule="auto"/>
              <w:ind w:firstLine="0" w:firstLineChars="0"/>
              <w:rPr>
                <w:rFonts w:hint="eastAsia" w:ascii="仿宋" w:hAnsi="仿宋" w:eastAsia="仿宋" w:cs="宋体"/>
                <w:color w:val="000000"/>
                <w:kern w:val="0"/>
                <w:sz w:val="24"/>
              </w:rPr>
            </w:pPr>
            <w:r>
              <w:rPr>
                <w:rFonts w:hint="eastAsia" w:ascii="仿宋" w:hAnsi="仿宋" w:eastAsia="仿宋" w:cs="宋体"/>
                <w:color w:val="000000"/>
                <w:kern w:val="0"/>
                <w:sz w:val="24"/>
              </w:rPr>
              <w:t>服务过程与成果可视化（移动端助手）</w:t>
            </w:r>
          </w:p>
        </w:tc>
        <w:tc>
          <w:tcPr>
            <w:tcW w:w="4255" w:type="pct"/>
            <w:shd w:val="clear" w:color="auto" w:fill="auto"/>
            <w:vAlign w:val="center"/>
          </w:tcPr>
          <w:p w14:paraId="532ED9A6">
            <w:pPr>
              <w:widowControl/>
              <w:snapToGrid w:val="0"/>
              <w:spacing w:line="240" w:lineRule="auto"/>
              <w:ind w:firstLine="485"/>
              <w:rPr>
                <w:rFonts w:hint="eastAsia" w:ascii="仿宋" w:hAnsi="仿宋" w:eastAsia="仿宋" w:cs="宋体"/>
                <w:color w:val="000000"/>
                <w:kern w:val="0"/>
                <w:sz w:val="24"/>
              </w:rPr>
            </w:pPr>
            <w:r>
              <w:rPr>
                <w:rFonts w:hint="eastAsia" w:ascii="仿宋" w:hAnsi="仿宋" w:eastAsia="仿宋" w:cs="宋体"/>
                <w:color w:val="000000"/>
                <w:kern w:val="0"/>
                <w:sz w:val="24"/>
              </w:rPr>
              <w:t>服务过程透明化可视化：投标方需为招标方提供移动端服务过程展示门户（移动端Portal），通过清晰可视化的风险消减图和漏洞消减图，让招标方清晰了解云端安全托管服务的风险消减机制，直观实时了解当前风险闭环情况。</w:t>
            </w:r>
          </w:p>
        </w:tc>
      </w:tr>
      <w:tr w14:paraId="409D5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744" w:type="pct"/>
            <w:vMerge w:val="continue"/>
            <w:vAlign w:val="center"/>
          </w:tcPr>
          <w:p w14:paraId="60011D5C">
            <w:pPr>
              <w:widowControl/>
              <w:snapToGrid w:val="0"/>
              <w:spacing w:line="240" w:lineRule="auto"/>
              <w:ind w:firstLine="485"/>
              <w:rPr>
                <w:rFonts w:hint="eastAsia" w:ascii="仿宋" w:hAnsi="仿宋" w:eastAsia="仿宋" w:cs="宋体"/>
                <w:color w:val="000000"/>
                <w:kern w:val="0"/>
                <w:sz w:val="24"/>
              </w:rPr>
            </w:pPr>
          </w:p>
        </w:tc>
        <w:tc>
          <w:tcPr>
            <w:tcW w:w="4255" w:type="pct"/>
            <w:shd w:val="clear" w:color="auto" w:fill="auto"/>
            <w:vAlign w:val="center"/>
          </w:tcPr>
          <w:p w14:paraId="25D03C13">
            <w:pPr>
              <w:widowControl/>
              <w:snapToGrid w:val="0"/>
              <w:spacing w:line="240" w:lineRule="auto"/>
              <w:ind w:firstLine="485"/>
              <w:rPr>
                <w:rFonts w:hint="eastAsia" w:ascii="仿宋" w:hAnsi="仿宋" w:eastAsia="仿宋" w:cs="宋体"/>
                <w:color w:val="000000"/>
                <w:kern w:val="0"/>
                <w:sz w:val="24"/>
              </w:rPr>
            </w:pPr>
            <w:r>
              <w:rPr>
                <w:rFonts w:hint="eastAsia" w:ascii="仿宋" w:hAnsi="仿宋" w:eastAsia="仿宋" w:cs="宋体"/>
                <w:color w:val="000000"/>
                <w:kern w:val="0"/>
                <w:sz w:val="24"/>
              </w:rPr>
              <w:t>★投标方需为招标方提供移动端服务过程展示门户（移动端Portal），支持实时直观地查阅服务的每日运营动态。运营动态需包括【事件通告】【威胁通告】【威胁情报】【服务报告】【夜间值守快报】等，并支持自定义进行筛选和管理。【提供移动端服务过程展示门户中支持查阅每日运营动态的截图证明】</w:t>
            </w:r>
          </w:p>
        </w:tc>
      </w:tr>
      <w:tr w14:paraId="2988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744" w:type="pct"/>
            <w:vMerge w:val="continue"/>
            <w:vAlign w:val="center"/>
          </w:tcPr>
          <w:p w14:paraId="6FFB0B68">
            <w:pPr>
              <w:widowControl/>
              <w:snapToGrid w:val="0"/>
              <w:spacing w:line="240" w:lineRule="auto"/>
              <w:ind w:firstLine="485"/>
              <w:rPr>
                <w:rFonts w:hint="eastAsia" w:ascii="仿宋" w:hAnsi="仿宋" w:eastAsia="仿宋" w:cs="宋体"/>
                <w:color w:val="000000"/>
                <w:kern w:val="0"/>
                <w:sz w:val="24"/>
              </w:rPr>
            </w:pPr>
          </w:p>
        </w:tc>
        <w:tc>
          <w:tcPr>
            <w:tcW w:w="4255" w:type="pct"/>
            <w:shd w:val="clear" w:color="auto" w:fill="auto"/>
            <w:vAlign w:val="center"/>
          </w:tcPr>
          <w:p w14:paraId="0CF18BB2">
            <w:pPr>
              <w:widowControl/>
              <w:snapToGrid w:val="0"/>
              <w:spacing w:line="240" w:lineRule="auto"/>
              <w:ind w:firstLine="485"/>
              <w:rPr>
                <w:rFonts w:hint="eastAsia" w:ascii="仿宋" w:hAnsi="仿宋" w:eastAsia="仿宋" w:cs="宋体"/>
                <w:color w:val="000000"/>
                <w:kern w:val="0"/>
                <w:sz w:val="24"/>
              </w:rPr>
            </w:pPr>
            <w:r>
              <w:rPr>
                <w:rFonts w:hint="eastAsia" w:ascii="仿宋" w:hAnsi="仿宋" w:eastAsia="仿宋" w:cs="宋体"/>
                <w:color w:val="000000"/>
                <w:kern w:val="0"/>
                <w:sz w:val="24"/>
              </w:rPr>
              <w:t>投标方需为招标方提供移动端服务过程展示门户（移动端Portal），支持直观地查阅服务推送的各种安全事件/威胁的详细专家审核研判过程，需包含安全事件详细的【基本信息】【入侵路径】【影响主机】【主机调查】【数据包分析】等内容。</w:t>
            </w:r>
          </w:p>
        </w:tc>
      </w:tr>
      <w:tr w14:paraId="6F64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pct"/>
            <w:vMerge w:val="restart"/>
            <w:vAlign w:val="center"/>
          </w:tcPr>
          <w:p w14:paraId="046C282A">
            <w:pPr>
              <w:widowControl/>
              <w:snapToGrid w:val="0"/>
              <w:spacing w:line="240" w:lineRule="auto"/>
              <w:ind w:firstLine="0" w:firstLineChars="0"/>
              <w:rPr>
                <w:rFonts w:hint="eastAsia" w:ascii="仿宋" w:hAnsi="仿宋" w:eastAsia="仿宋" w:cs="宋体"/>
                <w:color w:val="000000"/>
                <w:kern w:val="0"/>
                <w:sz w:val="24"/>
              </w:rPr>
            </w:pPr>
            <w:r>
              <w:rPr>
                <w:rFonts w:hint="eastAsia" w:ascii="仿宋" w:hAnsi="仿宋" w:eastAsia="仿宋" w:cs="宋体"/>
                <w:color w:val="000000"/>
                <w:kern w:val="0"/>
                <w:sz w:val="24"/>
              </w:rPr>
              <w:t>云平台服务</w:t>
            </w:r>
          </w:p>
        </w:tc>
        <w:tc>
          <w:tcPr>
            <w:tcW w:w="4255" w:type="pct"/>
            <w:shd w:val="clear" w:color="auto" w:fill="auto"/>
            <w:vAlign w:val="center"/>
          </w:tcPr>
          <w:p w14:paraId="444D9545">
            <w:pPr>
              <w:widowControl/>
              <w:snapToGrid w:val="0"/>
              <w:spacing w:line="240" w:lineRule="auto"/>
              <w:ind w:firstLine="485"/>
              <w:rPr>
                <w:rFonts w:hint="eastAsia" w:ascii="仿宋" w:hAnsi="仿宋" w:eastAsia="仿宋" w:cs="宋体"/>
                <w:color w:val="000000"/>
                <w:kern w:val="0"/>
                <w:sz w:val="24"/>
              </w:rPr>
            </w:pPr>
            <w:r>
              <w:rPr>
                <w:rFonts w:hint="eastAsia" w:ascii="仿宋" w:hAnsi="仿宋" w:eastAsia="仿宋" w:cs="宋体"/>
                <w:color w:val="000000"/>
                <w:kern w:val="0"/>
                <w:sz w:val="24"/>
              </w:rPr>
              <w:t>投标方应当具备云端7*24小时运行的服务平台，并具备以下能力为招标方提供专属的安全托管服务：</w:t>
            </w:r>
          </w:p>
        </w:tc>
      </w:tr>
      <w:tr w14:paraId="703B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744" w:type="pct"/>
            <w:vMerge w:val="continue"/>
            <w:vAlign w:val="center"/>
          </w:tcPr>
          <w:p w14:paraId="76CC6145">
            <w:pPr>
              <w:widowControl/>
              <w:snapToGrid w:val="0"/>
              <w:spacing w:line="240" w:lineRule="auto"/>
              <w:ind w:firstLine="485"/>
              <w:rPr>
                <w:rFonts w:hint="eastAsia" w:ascii="仿宋" w:hAnsi="仿宋" w:eastAsia="仿宋" w:cs="宋体"/>
                <w:color w:val="000000"/>
                <w:kern w:val="0"/>
                <w:sz w:val="24"/>
              </w:rPr>
            </w:pPr>
          </w:p>
        </w:tc>
        <w:tc>
          <w:tcPr>
            <w:tcW w:w="4255" w:type="pct"/>
            <w:shd w:val="clear" w:color="auto" w:fill="auto"/>
            <w:vAlign w:val="center"/>
          </w:tcPr>
          <w:p w14:paraId="19BC84B0">
            <w:pPr>
              <w:widowControl/>
              <w:snapToGrid w:val="0"/>
              <w:spacing w:line="240" w:lineRule="auto"/>
              <w:ind w:firstLine="485"/>
              <w:rPr>
                <w:rFonts w:hint="eastAsia" w:ascii="仿宋" w:hAnsi="仿宋" w:eastAsia="仿宋" w:cs="宋体"/>
                <w:color w:val="000000"/>
                <w:kern w:val="0"/>
                <w:sz w:val="24"/>
              </w:rPr>
            </w:pPr>
            <w:r>
              <w:rPr>
                <w:rFonts w:hint="eastAsia" w:ascii="仿宋" w:hAnsi="仿宋" w:eastAsia="仿宋" w:cs="宋体"/>
                <w:color w:val="000000"/>
                <w:kern w:val="0"/>
                <w:sz w:val="24"/>
              </w:rPr>
              <w:t>★</w:t>
            </w:r>
            <w:r>
              <w:rPr>
                <w:rFonts w:hint="eastAsia" w:ascii="仿宋" w:hAnsi="仿宋" w:eastAsia="仿宋" w:cs="宋体"/>
                <w:b/>
                <w:bCs/>
                <w:color w:val="000000"/>
                <w:kern w:val="0"/>
                <w:sz w:val="24"/>
              </w:rPr>
              <w:t>安全设备对接与数据采集:</w:t>
            </w:r>
            <w:r>
              <w:rPr>
                <w:rFonts w:hint="eastAsia" w:ascii="仿宋" w:hAnsi="仿宋" w:eastAsia="仿宋" w:cs="宋体"/>
                <w:color w:val="000000"/>
                <w:kern w:val="0"/>
                <w:sz w:val="24"/>
              </w:rPr>
              <w:t>投标方云端服务平台应当支持对接招标方网络中已部署的主要安全设备：安全态势感知，支持实时接收安全设备检测到的安全事件信息、安全日志数据提供7*24小时的安全托管服务；【提供云端服务平台支持对接的上述安全设备的能力证明，展示详细的对接步骤】</w:t>
            </w:r>
          </w:p>
        </w:tc>
      </w:tr>
      <w:tr w14:paraId="39B15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44" w:type="pct"/>
            <w:vMerge w:val="continue"/>
            <w:vAlign w:val="center"/>
          </w:tcPr>
          <w:p w14:paraId="23A3BEAA">
            <w:pPr>
              <w:widowControl/>
              <w:snapToGrid w:val="0"/>
              <w:spacing w:line="240" w:lineRule="auto"/>
              <w:ind w:firstLine="485"/>
              <w:rPr>
                <w:rFonts w:hint="eastAsia" w:ascii="仿宋" w:hAnsi="仿宋" w:eastAsia="仿宋" w:cs="宋体"/>
                <w:color w:val="000000"/>
                <w:kern w:val="0"/>
                <w:sz w:val="24"/>
              </w:rPr>
            </w:pPr>
          </w:p>
        </w:tc>
        <w:tc>
          <w:tcPr>
            <w:tcW w:w="4255" w:type="pct"/>
            <w:shd w:val="clear" w:color="auto" w:fill="auto"/>
            <w:vAlign w:val="center"/>
          </w:tcPr>
          <w:p w14:paraId="5BD648D0">
            <w:pPr>
              <w:widowControl/>
              <w:snapToGrid w:val="0"/>
              <w:spacing w:line="240" w:lineRule="auto"/>
              <w:ind w:firstLine="487"/>
              <w:rPr>
                <w:rFonts w:hint="eastAsia" w:ascii="仿宋" w:hAnsi="仿宋" w:eastAsia="仿宋" w:cs="宋体"/>
                <w:b/>
                <w:bCs/>
                <w:color w:val="000000"/>
                <w:kern w:val="0"/>
                <w:sz w:val="24"/>
              </w:rPr>
            </w:pPr>
            <w:r>
              <w:rPr>
                <w:rFonts w:hint="eastAsia" w:ascii="仿宋" w:hAnsi="仿宋" w:eastAsia="仿宋" w:cs="宋体"/>
                <w:b/>
                <w:bCs/>
                <w:color w:val="000000"/>
                <w:kern w:val="0"/>
                <w:sz w:val="24"/>
              </w:rPr>
              <w:t>平安合规性要求：</w:t>
            </w:r>
          </w:p>
          <w:p w14:paraId="46B43139">
            <w:pPr>
              <w:widowControl/>
              <w:snapToGrid w:val="0"/>
              <w:spacing w:line="240" w:lineRule="auto"/>
              <w:ind w:firstLine="485"/>
              <w:rPr>
                <w:rFonts w:hint="eastAsia" w:ascii="仿宋" w:hAnsi="仿宋" w:eastAsia="仿宋" w:cs="宋体"/>
                <w:color w:val="000000"/>
                <w:kern w:val="0"/>
                <w:sz w:val="24"/>
              </w:rPr>
            </w:pPr>
            <w:r>
              <w:rPr>
                <w:rFonts w:hint="eastAsia" w:ascii="仿宋" w:hAnsi="仿宋" w:eastAsia="仿宋" w:cs="宋体"/>
                <w:color w:val="000000"/>
                <w:kern w:val="0"/>
                <w:sz w:val="24"/>
              </w:rPr>
              <w:t>投标方云端服务平台应当做好严格的安全防护，并严格按照《</w:t>
            </w:r>
            <w:r>
              <w:rPr>
                <w:rFonts w:hint="eastAsia" w:ascii="仿宋" w:hAnsi="仿宋" w:eastAsia="仿宋" w:cstheme="minorBidi"/>
                <w:sz w:val="24"/>
              </w:rPr>
              <w:fldChar w:fldCharType="begin"/>
            </w:r>
            <w:r>
              <w:rPr>
                <w:rFonts w:ascii="仿宋" w:hAnsi="仿宋" w:eastAsia="仿宋"/>
                <w:sz w:val="24"/>
              </w:rPr>
              <w:instrText xml:space="preserve"> HYPERLINK "https://baike.baidu.com/item/%E4%BF%A1%E6%81%AF%E5%AE%89%E5%85%A8%E6%8A%80%E6%9C%AF%E2%80%94%E7%BD%91%E7%BB%9C%E5%AE%89%E5%85%A8%E7%AD%89%E7%BA%A7%E4%BF%9D%E6%8A%A4%E5%9F%BA%E6%9C%AC%E8%A6%81%E6%B1%82/53703710?fromModule=lemma_inlink" \t "/Users/duan/Documents\x/_blank" </w:instrText>
            </w:r>
            <w:r>
              <w:rPr>
                <w:rFonts w:hint="eastAsia" w:ascii="仿宋" w:hAnsi="仿宋" w:eastAsia="仿宋" w:cstheme="minorBidi"/>
                <w:sz w:val="24"/>
              </w:rPr>
              <w:fldChar w:fldCharType="separate"/>
            </w:r>
            <w:r>
              <w:rPr>
                <w:rFonts w:hint="eastAsia" w:ascii="仿宋" w:hAnsi="仿宋" w:eastAsia="仿宋" w:cs="宋体"/>
                <w:color w:val="000000"/>
                <w:kern w:val="0"/>
                <w:sz w:val="24"/>
              </w:rPr>
              <w:t>信息安全技术—网络安全等级保护基本要求</w:t>
            </w:r>
            <w:r>
              <w:rPr>
                <w:rFonts w:hint="eastAsia" w:ascii="仿宋" w:hAnsi="仿宋" w:eastAsia="仿宋" w:cs="宋体"/>
                <w:color w:val="000000"/>
                <w:kern w:val="0"/>
                <w:sz w:val="24"/>
              </w:rPr>
              <w:fldChar w:fldCharType="end"/>
            </w:r>
            <w:r>
              <w:rPr>
                <w:rFonts w:hint="eastAsia" w:ascii="仿宋" w:hAnsi="仿宋" w:eastAsia="仿宋" w:cs="宋体"/>
                <w:color w:val="000000"/>
                <w:kern w:val="0"/>
                <w:sz w:val="24"/>
              </w:rPr>
              <w:t>》完成等级保护测评工作，服务平台至少通过等级保护三级测评；【投标方应当提供云端服务平台等级保护三级测评通过证明，提供报告首页、基本信息表、等级测评结论首页，以上内容中必须明确指出该平台用于为用户提供7*24小时的安全托管服务；（敏感内容投标方可脱敏展示）】</w:t>
            </w:r>
          </w:p>
          <w:p w14:paraId="09D1337F">
            <w:pPr>
              <w:widowControl/>
              <w:snapToGrid w:val="0"/>
              <w:spacing w:line="240" w:lineRule="auto"/>
              <w:ind w:firstLine="485"/>
              <w:rPr>
                <w:rFonts w:hint="eastAsia" w:ascii="仿宋" w:hAnsi="仿宋" w:eastAsia="仿宋" w:cs="宋体"/>
                <w:color w:val="000000"/>
                <w:kern w:val="0"/>
                <w:sz w:val="24"/>
              </w:rPr>
            </w:pPr>
            <w:r>
              <w:rPr>
                <w:rFonts w:hint="eastAsia" w:ascii="仿宋" w:hAnsi="仿宋" w:eastAsia="仿宋" w:cs="宋体"/>
                <w:color w:val="000000"/>
                <w:kern w:val="0"/>
                <w:sz w:val="24"/>
              </w:rPr>
              <w:t>投标方云端服务平台应通过国家互联网信息办公室、国家发展和改革委员会、工业和信息化部、财政部四部委联合组织的云计算服务安全评估，入选“通过云计算服务安全评估的云平台”名单，以确保平台的安全性和可控水平；【提需供中央网络安全和信息化委员会办公室、国家互联网信息办公室官方网站发布的《通过云计算服务安全评估的云平台》入选名单作为证明（名单截图），需明确写明为安全托管服务运营平台。】</w:t>
            </w:r>
          </w:p>
        </w:tc>
      </w:tr>
      <w:tr w14:paraId="27F46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44" w:type="pct"/>
            <w:vMerge w:val="continue"/>
            <w:vAlign w:val="center"/>
          </w:tcPr>
          <w:p w14:paraId="634390F3">
            <w:pPr>
              <w:widowControl/>
              <w:snapToGrid w:val="0"/>
              <w:spacing w:line="240" w:lineRule="auto"/>
              <w:ind w:firstLine="485"/>
              <w:rPr>
                <w:rFonts w:hint="eastAsia" w:ascii="仿宋" w:hAnsi="仿宋" w:eastAsia="仿宋" w:cs="宋体"/>
                <w:color w:val="000000"/>
                <w:kern w:val="0"/>
                <w:sz w:val="24"/>
              </w:rPr>
            </w:pPr>
          </w:p>
        </w:tc>
        <w:tc>
          <w:tcPr>
            <w:tcW w:w="4255" w:type="pct"/>
            <w:shd w:val="clear" w:color="auto" w:fill="auto"/>
            <w:vAlign w:val="center"/>
          </w:tcPr>
          <w:p w14:paraId="321CB89C">
            <w:pPr>
              <w:widowControl/>
              <w:snapToGrid w:val="0"/>
              <w:spacing w:line="240" w:lineRule="auto"/>
              <w:ind w:firstLine="487"/>
              <w:rPr>
                <w:rFonts w:hint="eastAsia" w:ascii="仿宋" w:hAnsi="仿宋" w:eastAsia="仿宋" w:cs="宋体"/>
                <w:color w:val="000000"/>
                <w:kern w:val="0"/>
                <w:sz w:val="24"/>
              </w:rPr>
            </w:pPr>
            <w:r>
              <w:rPr>
                <w:rFonts w:hint="eastAsia" w:ascii="仿宋" w:hAnsi="仿宋" w:eastAsia="仿宋" w:cs="宋体"/>
                <w:b/>
                <w:bCs/>
                <w:color w:val="000000"/>
                <w:kern w:val="0"/>
                <w:sz w:val="24"/>
              </w:rPr>
              <w:t>服务流程引擎：</w:t>
            </w:r>
            <w:r>
              <w:rPr>
                <w:rFonts w:hint="eastAsia" w:ascii="仿宋" w:hAnsi="仿宋" w:eastAsia="仿宋" w:cs="宋体"/>
                <w:color w:val="000000"/>
                <w:kern w:val="0"/>
                <w:sz w:val="24"/>
              </w:rPr>
              <w:t>为了保障服务效率和质量，投标方的云端服务平台应当具备一套完善的流程编排引擎，能够为客户灵活编排、定义服务流程，并且定义服务的SLA，将服务过程中的各个关键环节按照一定的顺序和规则进行组织和安排，以达到高效、优质的服务目标；</w:t>
            </w:r>
          </w:p>
          <w:p w14:paraId="12E2F597">
            <w:pPr>
              <w:widowControl/>
              <w:snapToGrid w:val="0"/>
              <w:spacing w:line="240" w:lineRule="auto"/>
              <w:ind w:firstLine="485"/>
              <w:rPr>
                <w:rFonts w:hint="eastAsia" w:ascii="仿宋" w:hAnsi="仿宋" w:eastAsia="仿宋" w:cs="宋体"/>
                <w:color w:val="000000"/>
                <w:kern w:val="0"/>
                <w:sz w:val="24"/>
              </w:rPr>
            </w:pPr>
            <w:r>
              <w:rPr>
                <w:rFonts w:hint="eastAsia" w:ascii="仿宋" w:hAnsi="仿宋" w:eastAsia="仿宋" w:cs="宋体"/>
                <w:color w:val="000000"/>
                <w:kern w:val="0"/>
                <w:sz w:val="24"/>
              </w:rPr>
              <w:t>【投标方应当提供云端服务平台具备上述流程编排能力的证明】</w:t>
            </w:r>
          </w:p>
        </w:tc>
      </w:tr>
      <w:tr w14:paraId="43846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44" w:type="pct"/>
            <w:vMerge w:val="continue"/>
            <w:vAlign w:val="center"/>
          </w:tcPr>
          <w:p w14:paraId="675A22EE">
            <w:pPr>
              <w:widowControl/>
              <w:snapToGrid w:val="0"/>
              <w:spacing w:line="240" w:lineRule="auto"/>
              <w:ind w:firstLine="485"/>
              <w:rPr>
                <w:rFonts w:hint="eastAsia" w:ascii="仿宋" w:hAnsi="仿宋" w:eastAsia="仿宋" w:cs="宋体"/>
                <w:color w:val="000000"/>
                <w:kern w:val="0"/>
                <w:sz w:val="24"/>
              </w:rPr>
            </w:pPr>
          </w:p>
        </w:tc>
        <w:tc>
          <w:tcPr>
            <w:tcW w:w="4255" w:type="pct"/>
            <w:shd w:val="clear" w:color="auto" w:fill="auto"/>
            <w:vAlign w:val="center"/>
          </w:tcPr>
          <w:p w14:paraId="07FB01E5">
            <w:pPr>
              <w:widowControl/>
              <w:snapToGrid w:val="0"/>
              <w:spacing w:line="240" w:lineRule="auto"/>
              <w:ind w:firstLine="487"/>
              <w:rPr>
                <w:rFonts w:hint="eastAsia" w:ascii="仿宋" w:hAnsi="仿宋" w:eastAsia="仿宋" w:cs="宋体"/>
                <w:color w:val="000000"/>
                <w:kern w:val="0"/>
                <w:sz w:val="24"/>
              </w:rPr>
            </w:pPr>
            <w:r>
              <w:rPr>
                <w:rFonts w:hint="eastAsia" w:ascii="仿宋" w:hAnsi="仿宋" w:eastAsia="仿宋" w:cs="宋体"/>
                <w:b/>
                <w:bCs/>
                <w:color w:val="000000"/>
                <w:kern w:val="0"/>
                <w:sz w:val="24"/>
              </w:rPr>
              <w:t>GPT能力：</w:t>
            </w:r>
            <w:r>
              <w:rPr>
                <w:rFonts w:hint="eastAsia" w:ascii="仿宋" w:hAnsi="仿宋" w:eastAsia="仿宋" w:cs="宋体"/>
                <w:color w:val="000000"/>
                <w:kern w:val="0"/>
                <w:sz w:val="24"/>
              </w:rPr>
              <w:t>投标方托管服务平台应具备GPT服务工具，支持集成在服务微信群、服务工作台，该工具能力项应支持告警数据包研判、情报查询分析、Payload解码、事件研判定性、自动调用安全设备遏制（IP、域名封堵）、事件调查溯源、运营数据统计（支持在线统计、分析并下载数据）等。提供安全托服务平台GPT能力项的证明截图。</w:t>
            </w:r>
          </w:p>
        </w:tc>
      </w:tr>
      <w:tr w14:paraId="0A40D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44" w:type="pct"/>
            <w:vAlign w:val="center"/>
          </w:tcPr>
          <w:p w14:paraId="49056A65">
            <w:pPr>
              <w:widowControl/>
              <w:snapToGrid w:val="0"/>
              <w:spacing w:line="240" w:lineRule="auto"/>
              <w:ind w:firstLine="0" w:firstLineChars="0"/>
              <w:rPr>
                <w:rFonts w:hint="eastAsia" w:ascii="仿宋" w:hAnsi="仿宋" w:eastAsia="仿宋" w:cs="宋体"/>
                <w:color w:val="000000"/>
                <w:kern w:val="0"/>
                <w:sz w:val="24"/>
              </w:rPr>
            </w:pPr>
            <w:r>
              <w:rPr>
                <w:rFonts w:hint="eastAsia" w:ascii="仿宋" w:hAnsi="仿宋" w:eastAsia="仿宋" w:cs="宋体"/>
                <w:color w:val="000000"/>
                <w:kern w:val="0"/>
                <w:sz w:val="24"/>
              </w:rPr>
              <w:t>资质项</w:t>
            </w:r>
          </w:p>
        </w:tc>
        <w:tc>
          <w:tcPr>
            <w:tcW w:w="4255" w:type="pct"/>
            <w:shd w:val="clear" w:color="auto" w:fill="auto"/>
            <w:vAlign w:val="center"/>
          </w:tcPr>
          <w:p w14:paraId="6FCF8B6A">
            <w:pPr>
              <w:widowControl/>
              <w:snapToGrid w:val="0"/>
              <w:spacing w:line="240" w:lineRule="auto"/>
              <w:ind w:firstLine="485"/>
              <w:rPr>
                <w:rFonts w:hint="eastAsia" w:ascii="仿宋" w:hAnsi="仿宋" w:eastAsia="仿宋" w:cs="宋体"/>
                <w:color w:val="000000"/>
                <w:kern w:val="0"/>
                <w:sz w:val="24"/>
              </w:rPr>
            </w:pPr>
            <w:r>
              <w:rPr>
                <w:rFonts w:hint="eastAsia" w:ascii="仿宋" w:hAnsi="仿宋" w:eastAsia="仿宋" w:cs="宋体"/>
                <w:color w:val="000000"/>
                <w:kern w:val="0"/>
                <w:sz w:val="24"/>
              </w:rPr>
              <w:t>（1）所投厂商具备国家信息安全服务（安全运营类二级）资质，需提供有效证明材料。</w:t>
            </w:r>
          </w:p>
          <w:p w14:paraId="082462D6">
            <w:pPr>
              <w:widowControl/>
              <w:snapToGrid w:val="0"/>
              <w:spacing w:line="240" w:lineRule="auto"/>
              <w:ind w:firstLine="485"/>
              <w:rPr>
                <w:rFonts w:hint="eastAsia" w:ascii="仿宋" w:hAnsi="仿宋" w:eastAsia="仿宋" w:cs="宋体"/>
                <w:color w:val="000000"/>
                <w:kern w:val="0"/>
                <w:sz w:val="24"/>
              </w:rPr>
            </w:pPr>
            <w:r>
              <w:rPr>
                <w:rFonts w:hint="eastAsia" w:ascii="仿宋" w:hAnsi="仿宋" w:eastAsia="仿宋" w:cs="宋体"/>
                <w:color w:val="000000"/>
                <w:kern w:val="0"/>
                <w:sz w:val="24"/>
              </w:rPr>
              <w:t>（2）投标方的安全运营平台的平台能力和人员服务能力需要符合《面向云计算的安全运营中心能力要求》 标准，获得权威机构认证，提供证明材料。</w:t>
            </w:r>
          </w:p>
          <w:p w14:paraId="76F072FF">
            <w:pPr>
              <w:widowControl/>
              <w:snapToGrid w:val="0"/>
              <w:spacing w:line="240" w:lineRule="auto"/>
              <w:ind w:firstLine="485"/>
              <w:rPr>
                <w:rFonts w:hint="eastAsia" w:ascii="仿宋" w:hAnsi="仿宋" w:eastAsia="仿宋" w:cs="宋体"/>
                <w:color w:val="000000"/>
                <w:kern w:val="0"/>
                <w:sz w:val="24"/>
              </w:rPr>
            </w:pPr>
            <w:r>
              <w:rPr>
                <w:rFonts w:hint="eastAsia" w:ascii="仿宋" w:hAnsi="仿宋" w:eastAsia="仿宋" w:cs="宋体"/>
                <w:color w:val="000000"/>
                <w:kern w:val="0"/>
                <w:sz w:val="24"/>
              </w:rPr>
              <w:t>（3）市场能力：所投厂商的远程托管安全服务连续3年在中国区IDC中国远程托管安全服务市场占有率排名前三，要求提供证明材料。</w:t>
            </w:r>
          </w:p>
          <w:p w14:paraId="017896E1">
            <w:pPr>
              <w:widowControl/>
              <w:snapToGrid w:val="0"/>
              <w:spacing w:line="240" w:lineRule="auto"/>
              <w:ind w:firstLine="485"/>
              <w:rPr>
                <w:rFonts w:hint="eastAsia" w:ascii="仿宋" w:hAnsi="仿宋" w:eastAsia="仿宋" w:cs="宋体"/>
                <w:color w:val="000000"/>
                <w:kern w:val="0"/>
                <w:sz w:val="24"/>
              </w:rPr>
            </w:pPr>
            <w:r>
              <w:rPr>
                <w:rFonts w:hint="eastAsia" w:ascii="仿宋" w:hAnsi="仿宋" w:eastAsia="仿宋" w:cs="宋体"/>
                <w:color w:val="000000"/>
                <w:kern w:val="0"/>
                <w:sz w:val="24"/>
              </w:rPr>
              <w:t>（4）所投厂商是国家互联网应急响应中心网络安全应急服务国家级支撑单位，需提供有效证明材料；</w:t>
            </w:r>
          </w:p>
        </w:tc>
      </w:tr>
    </w:tbl>
    <w:p w14:paraId="75234CF7">
      <w:pPr>
        <w:ind w:firstLine="485"/>
        <w:rPr>
          <w:rFonts w:hint="eastAsia" w:ascii="仿宋" w:hAnsi="仿宋" w:eastAsia="仿宋"/>
          <w:sz w:val="24"/>
        </w:rPr>
      </w:pPr>
    </w:p>
    <w:p w14:paraId="664C8C1D">
      <w:pPr>
        <w:pStyle w:val="2"/>
      </w:pPr>
      <w:r>
        <w:rPr>
          <w:rFonts w:hint="eastAsia"/>
        </w:rPr>
        <w:t>服务工具技术要求</w:t>
      </w:r>
    </w:p>
    <w:p w14:paraId="21A817D1">
      <w:pPr>
        <w:pStyle w:val="3"/>
        <w:rPr>
          <w:rFonts w:hint="eastAsia" w:ascii="宋体" w:hAnsi="宋体"/>
        </w:rPr>
      </w:pPr>
      <w:r>
        <w:rPr>
          <w:rFonts w:hint="eastAsia"/>
        </w:rPr>
        <w:t>服务工具清单</w:t>
      </w:r>
    </w:p>
    <w:p w14:paraId="48A67A40">
      <w:pPr>
        <w:ind w:firstLine="321"/>
        <w:rPr>
          <w:rFonts w:hint="eastAsia" w:ascii="宋体" w:hAnsi="宋体"/>
          <w:sz w:val="24"/>
        </w:rPr>
      </w:pPr>
      <w:r>
        <w:rPr>
          <w:rFonts w:hint="eastAsia" w:ascii="宋体" w:hAnsi="宋体" w:cs="宋体"/>
          <w:kern w:val="0"/>
          <w:sz w:val="24"/>
        </w:rPr>
        <w:t>★</w:t>
      </w:r>
      <w:r>
        <w:rPr>
          <w:rFonts w:hint="eastAsia" w:ascii="微软雅黑" w:hAnsi="微软雅黑" w:eastAsia="微软雅黑" w:cs="微软雅黑"/>
          <w:sz w:val="24"/>
        </w:rPr>
        <w:t>投标人需为本项目提供不低于如下工具数量及参数</w:t>
      </w:r>
      <w:r>
        <w:rPr>
          <w:rFonts w:hint="eastAsia" w:ascii="Malgun Gothic Semilight" w:hAnsi="Malgun Gothic Semilight" w:eastAsia="Malgun Gothic Semilight" w:cs="Malgun Gothic Semilight"/>
          <w:sz w:val="24"/>
        </w:rPr>
        <w:t>：</w:t>
      </w:r>
    </w:p>
    <w:tbl>
      <w:tblPr>
        <w:tblStyle w:val="9"/>
        <w:tblW w:w="9073" w:type="dxa"/>
        <w:tblInd w:w="-318" w:type="dxa"/>
        <w:tblLayout w:type="autofit"/>
        <w:tblCellMar>
          <w:top w:w="0" w:type="dxa"/>
          <w:left w:w="108" w:type="dxa"/>
          <w:bottom w:w="0" w:type="dxa"/>
          <w:right w:w="108" w:type="dxa"/>
        </w:tblCellMar>
      </w:tblPr>
      <w:tblGrid>
        <w:gridCol w:w="1056"/>
        <w:gridCol w:w="4062"/>
        <w:gridCol w:w="2127"/>
        <w:gridCol w:w="978"/>
        <w:gridCol w:w="850"/>
      </w:tblGrid>
      <w:tr w14:paraId="7AE01797">
        <w:tblPrEx>
          <w:tblCellMar>
            <w:top w:w="0" w:type="dxa"/>
            <w:left w:w="108" w:type="dxa"/>
            <w:bottom w:w="0" w:type="dxa"/>
            <w:right w:w="108" w:type="dxa"/>
          </w:tblCellMar>
        </w:tblPrEx>
        <w:trPr>
          <w:trHeight w:val="20" w:hRule="atLeast"/>
        </w:trPr>
        <w:tc>
          <w:tcPr>
            <w:tcW w:w="1056" w:type="dxa"/>
            <w:tcBorders>
              <w:top w:val="single" w:color="auto" w:sz="4" w:space="0"/>
              <w:left w:val="single" w:color="auto" w:sz="4" w:space="0"/>
              <w:bottom w:val="single" w:color="auto" w:sz="4" w:space="0"/>
              <w:right w:val="single" w:color="auto" w:sz="4" w:space="0"/>
            </w:tcBorders>
            <w:vAlign w:val="center"/>
          </w:tcPr>
          <w:p w14:paraId="35ACD479">
            <w:pPr>
              <w:widowControl/>
              <w:spacing w:line="440" w:lineRule="exact"/>
              <w:ind w:firstLine="0" w:firstLineChars="0"/>
              <w:rPr>
                <w:rFonts w:hint="eastAsia" w:ascii="仿宋" w:hAnsi="仿宋" w:eastAsia="仿宋" w:cs="微软雅黑"/>
                <w:color w:val="000000"/>
                <w:kern w:val="0"/>
                <w:sz w:val="24"/>
              </w:rPr>
            </w:pPr>
            <w:r>
              <w:rPr>
                <w:rFonts w:hint="eastAsia" w:ascii="仿宋" w:hAnsi="仿宋" w:eastAsia="仿宋" w:cs="微软雅黑"/>
                <w:color w:val="000000"/>
                <w:kern w:val="0"/>
                <w:sz w:val="24"/>
              </w:rPr>
              <w:t>序列</w:t>
            </w:r>
          </w:p>
        </w:tc>
        <w:tc>
          <w:tcPr>
            <w:tcW w:w="4062" w:type="dxa"/>
            <w:tcBorders>
              <w:top w:val="single" w:color="auto" w:sz="4" w:space="0"/>
              <w:left w:val="nil"/>
              <w:bottom w:val="single" w:color="auto" w:sz="4" w:space="0"/>
              <w:right w:val="single" w:color="auto" w:sz="4" w:space="0"/>
            </w:tcBorders>
            <w:vAlign w:val="center"/>
          </w:tcPr>
          <w:p w14:paraId="425FFD06">
            <w:pPr>
              <w:widowControl/>
              <w:spacing w:line="440" w:lineRule="exact"/>
              <w:ind w:firstLine="485"/>
              <w:rPr>
                <w:rFonts w:hint="eastAsia" w:ascii="仿宋" w:hAnsi="仿宋" w:eastAsia="仿宋" w:cs="微软雅黑"/>
                <w:color w:val="000000"/>
                <w:kern w:val="0"/>
                <w:sz w:val="24"/>
              </w:rPr>
            </w:pPr>
            <w:r>
              <w:rPr>
                <w:rFonts w:hint="eastAsia" w:ascii="仿宋" w:hAnsi="仿宋" w:eastAsia="仿宋" w:cs="微软雅黑"/>
                <w:color w:val="000000"/>
                <w:kern w:val="0"/>
                <w:sz w:val="24"/>
              </w:rPr>
              <w:t>名称</w:t>
            </w:r>
          </w:p>
        </w:tc>
        <w:tc>
          <w:tcPr>
            <w:tcW w:w="2127" w:type="dxa"/>
            <w:tcBorders>
              <w:top w:val="single" w:color="auto" w:sz="4" w:space="0"/>
              <w:left w:val="nil"/>
              <w:bottom w:val="single" w:color="auto" w:sz="4" w:space="0"/>
              <w:right w:val="single" w:color="auto" w:sz="4" w:space="0"/>
            </w:tcBorders>
            <w:noWrap/>
            <w:vAlign w:val="center"/>
          </w:tcPr>
          <w:p w14:paraId="777AAB90">
            <w:pPr>
              <w:widowControl/>
              <w:spacing w:line="440" w:lineRule="exact"/>
              <w:ind w:firstLine="485"/>
              <w:rPr>
                <w:rFonts w:hint="eastAsia" w:ascii="仿宋" w:hAnsi="仿宋" w:eastAsia="仿宋" w:cs="微软雅黑"/>
                <w:color w:val="000000"/>
                <w:kern w:val="0"/>
                <w:sz w:val="24"/>
              </w:rPr>
            </w:pPr>
            <w:r>
              <w:rPr>
                <w:rFonts w:hint="eastAsia" w:ascii="仿宋" w:hAnsi="仿宋" w:eastAsia="仿宋" w:cs="微软雅黑"/>
                <w:color w:val="000000"/>
                <w:kern w:val="0"/>
                <w:sz w:val="24"/>
              </w:rPr>
              <w:t>参数要求</w:t>
            </w:r>
          </w:p>
        </w:tc>
        <w:tc>
          <w:tcPr>
            <w:tcW w:w="978" w:type="dxa"/>
            <w:tcBorders>
              <w:top w:val="single" w:color="auto" w:sz="4" w:space="0"/>
              <w:left w:val="nil"/>
              <w:bottom w:val="single" w:color="auto" w:sz="4" w:space="0"/>
              <w:right w:val="single" w:color="auto" w:sz="4" w:space="0"/>
            </w:tcBorders>
            <w:vAlign w:val="center"/>
          </w:tcPr>
          <w:p w14:paraId="3814B218">
            <w:pPr>
              <w:widowControl/>
              <w:spacing w:line="440" w:lineRule="exact"/>
              <w:ind w:firstLine="0" w:firstLineChars="0"/>
              <w:rPr>
                <w:rFonts w:hint="eastAsia" w:ascii="仿宋" w:hAnsi="仿宋" w:eastAsia="仿宋" w:cs="微软雅黑"/>
                <w:color w:val="000000"/>
                <w:kern w:val="0"/>
                <w:sz w:val="24"/>
              </w:rPr>
            </w:pPr>
            <w:r>
              <w:rPr>
                <w:rFonts w:hint="eastAsia" w:ascii="仿宋" w:hAnsi="仿宋" w:eastAsia="仿宋" w:cs="微软雅黑"/>
                <w:color w:val="000000"/>
                <w:kern w:val="0"/>
                <w:sz w:val="24"/>
              </w:rPr>
              <w:t>数量</w:t>
            </w:r>
          </w:p>
        </w:tc>
        <w:tc>
          <w:tcPr>
            <w:tcW w:w="850" w:type="dxa"/>
            <w:tcBorders>
              <w:top w:val="single" w:color="auto" w:sz="4" w:space="0"/>
              <w:left w:val="nil"/>
              <w:bottom w:val="single" w:color="auto" w:sz="4" w:space="0"/>
              <w:right w:val="single" w:color="auto" w:sz="4" w:space="0"/>
            </w:tcBorders>
            <w:noWrap/>
            <w:vAlign w:val="center"/>
          </w:tcPr>
          <w:p w14:paraId="0D010316">
            <w:pPr>
              <w:widowControl/>
              <w:spacing w:line="440" w:lineRule="exact"/>
              <w:ind w:firstLine="0" w:firstLineChars="0"/>
              <w:rPr>
                <w:rFonts w:hint="eastAsia" w:ascii="仿宋" w:hAnsi="仿宋" w:eastAsia="仿宋" w:cs="微软雅黑"/>
                <w:color w:val="000000"/>
                <w:kern w:val="0"/>
                <w:sz w:val="24"/>
              </w:rPr>
            </w:pPr>
            <w:r>
              <w:rPr>
                <w:rFonts w:hint="eastAsia" w:ascii="仿宋" w:hAnsi="仿宋" w:eastAsia="仿宋" w:cs="微软雅黑"/>
                <w:color w:val="000000"/>
                <w:kern w:val="0"/>
                <w:sz w:val="24"/>
              </w:rPr>
              <w:t>单位</w:t>
            </w:r>
          </w:p>
        </w:tc>
      </w:tr>
      <w:tr w14:paraId="0597D016">
        <w:tblPrEx>
          <w:tblCellMar>
            <w:top w:w="0" w:type="dxa"/>
            <w:left w:w="108" w:type="dxa"/>
            <w:bottom w:w="0" w:type="dxa"/>
            <w:right w:w="108" w:type="dxa"/>
          </w:tblCellMar>
        </w:tblPrEx>
        <w:trPr>
          <w:trHeight w:val="20" w:hRule="atLeast"/>
        </w:trPr>
        <w:tc>
          <w:tcPr>
            <w:tcW w:w="1056" w:type="dxa"/>
            <w:tcBorders>
              <w:top w:val="nil"/>
              <w:left w:val="single" w:color="auto" w:sz="4" w:space="0"/>
              <w:bottom w:val="single" w:color="auto" w:sz="4" w:space="0"/>
              <w:right w:val="single" w:color="auto" w:sz="4" w:space="0"/>
            </w:tcBorders>
            <w:vAlign w:val="center"/>
          </w:tcPr>
          <w:p w14:paraId="01F5E954">
            <w:pPr>
              <w:widowControl/>
              <w:spacing w:line="440" w:lineRule="exact"/>
              <w:ind w:firstLine="0" w:firstLineChars="0"/>
              <w:rPr>
                <w:rFonts w:hint="eastAsia" w:ascii="仿宋" w:hAnsi="仿宋" w:eastAsia="仿宋" w:cs="微软雅黑"/>
                <w:color w:val="000000"/>
                <w:kern w:val="0"/>
                <w:sz w:val="24"/>
              </w:rPr>
            </w:pPr>
            <w:r>
              <w:rPr>
                <w:rFonts w:hint="eastAsia" w:ascii="仿宋" w:hAnsi="仿宋" w:eastAsia="仿宋" w:cs="微软雅黑"/>
                <w:color w:val="000000"/>
                <w:kern w:val="0"/>
                <w:sz w:val="24"/>
              </w:rPr>
              <w:t>1</w:t>
            </w:r>
          </w:p>
        </w:tc>
        <w:tc>
          <w:tcPr>
            <w:tcW w:w="4062" w:type="dxa"/>
            <w:tcBorders>
              <w:top w:val="nil"/>
              <w:left w:val="nil"/>
              <w:bottom w:val="single" w:color="auto" w:sz="4" w:space="0"/>
              <w:right w:val="single" w:color="auto" w:sz="4" w:space="0"/>
            </w:tcBorders>
            <w:vAlign w:val="center"/>
          </w:tcPr>
          <w:p w14:paraId="5204FD87">
            <w:pPr>
              <w:widowControl/>
              <w:spacing w:line="440" w:lineRule="exact"/>
              <w:ind w:firstLine="0" w:firstLineChars="0"/>
              <w:rPr>
                <w:rFonts w:hint="eastAsia" w:ascii="仿宋" w:hAnsi="仿宋" w:eastAsia="仿宋" w:cs="微软雅黑"/>
                <w:color w:val="000000"/>
                <w:kern w:val="0"/>
                <w:sz w:val="24"/>
              </w:rPr>
            </w:pPr>
            <w:r>
              <w:rPr>
                <w:rFonts w:hint="eastAsia" w:ascii="仿宋" w:hAnsi="仿宋" w:eastAsia="仿宋" w:cs="微软雅黑"/>
                <w:color w:val="000000"/>
                <w:kern w:val="0"/>
                <w:sz w:val="24"/>
              </w:rPr>
              <w:t>资产梳理漏洞扫描服务工具</w:t>
            </w:r>
          </w:p>
        </w:tc>
        <w:tc>
          <w:tcPr>
            <w:tcW w:w="2127" w:type="dxa"/>
            <w:tcBorders>
              <w:top w:val="nil"/>
              <w:left w:val="nil"/>
              <w:bottom w:val="single" w:color="auto" w:sz="4" w:space="0"/>
              <w:right w:val="single" w:color="auto" w:sz="4" w:space="0"/>
            </w:tcBorders>
            <w:noWrap/>
            <w:vAlign w:val="center"/>
          </w:tcPr>
          <w:p w14:paraId="247EFEDC">
            <w:pPr>
              <w:widowControl/>
              <w:spacing w:line="440" w:lineRule="exact"/>
              <w:ind w:firstLine="0" w:firstLineChars="0"/>
              <w:rPr>
                <w:rFonts w:hint="eastAsia" w:ascii="仿宋" w:hAnsi="仿宋" w:eastAsia="仿宋" w:cs="微软雅黑"/>
                <w:color w:val="000000"/>
                <w:kern w:val="0"/>
                <w:sz w:val="24"/>
              </w:rPr>
            </w:pPr>
            <w:r>
              <w:rPr>
                <w:rFonts w:hint="eastAsia" w:ascii="仿宋" w:hAnsi="仿宋" w:eastAsia="仿宋" w:cs="微软雅黑"/>
                <w:color w:val="000000"/>
                <w:kern w:val="0"/>
                <w:sz w:val="24"/>
              </w:rPr>
              <w:t>详见后续</w:t>
            </w:r>
          </w:p>
        </w:tc>
        <w:tc>
          <w:tcPr>
            <w:tcW w:w="978" w:type="dxa"/>
            <w:tcBorders>
              <w:top w:val="nil"/>
              <w:left w:val="nil"/>
              <w:bottom w:val="single" w:color="auto" w:sz="4" w:space="0"/>
              <w:right w:val="single" w:color="auto" w:sz="4" w:space="0"/>
            </w:tcBorders>
            <w:vAlign w:val="center"/>
          </w:tcPr>
          <w:p w14:paraId="37040E19">
            <w:pPr>
              <w:widowControl/>
              <w:spacing w:line="440" w:lineRule="exact"/>
              <w:ind w:firstLine="0" w:firstLineChars="0"/>
              <w:rPr>
                <w:rFonts w:hint="eastAsia" w:ascii="仿宋" w:hAnsi="仿宋" w:eastAsia="仿宋" w:cs="微软雅黑"/>
                <w:color w:val="000000"/>
                <w:kern w:val="0"/>
                <w:sz w:val="24"/>
              </w:rPr>
            </w:pPr>
            <w:r>
              <w:rPr>
                <w:rFonts w:hint="eastAsia" w:ascii="仿宋" w:hAnsi="仿宋" w:eastAsia="仿宋" w:cs="微软雅黑"/>
                <w:color w:val="000000"/>
                <w:kern w:val="0"/>
                <w:sz w:val="24"/>
              </w:rPr>
              <w:t>1</w:t>
            </w:r>
          </w:p>
        </w:tc>
        <w:tc>
          <w:tcPr>
            <w:tcW w:w="850" w:type="dxa"/>
            <w:tcBorders>
              <w:top w:val="nil"/>
              <w:left w:val="nil"/>
              <w:bottom w:val="single" w:color="auto" w:sz="4" w:space="0"/>
              <w:right w:val="single" w:color="auto" w:sz="4" w:space="0"/>
            </w:tcBorders>
            <w:noWrap/>
            <w:vAlign w:val="center"/>
          </w:tcPr>
          <w:p w14:paraId="319D9632">
            <w:pPr>
              <w:widowControl/>
              <w:spacing w:line="440" w:lineRule="exact"/>
              <w:ind w:firstLine="0" w:firstLineChars="0"/>
              <w:rPr>
                <w:rFonts w:hint="eastAsia" w:ascii="仿宋" w:hAnsi="仿宋" w:eastAsia="仿宋" w:cs="微软雅黑"/>
                <w:color w:val="000000"/>
                <w:kern w:val="0"/>
                <w:sz w:val="24"/>
              </w:rPr>
            </w:pPr>
            <w:r>
              <w:rPr>
                <w:rFonts w:hint="eastAsia" w:ascii="仿宋" w:hAnsi="仿宋" w:eastAsia="仿宋" w:cs="微软雅黑"/>
                <w:color w:val="000000"/>
                <w:kern w:val="0"/>
                <w:sz w:val="24"/>
              </w:rPr>
              <w:t>套</w:t>
            </w:r>
          </w:p>
        </w:tc>
      </w:tr>
    </w:tbl>
    <w:p w14:paraId="2C16A041">
      <w:pPr>
        <w:pStyle w:val="3"/>
        <w:rPr>
          <w:rFonts w:hint="eastAsia" w:ascii="宋体" w:hAnsi="宋体"/>
        </w:rPr>
      </w:pPr>
      <w:r>
        <w:rPr>
          <w:rFonts w:hint="eastAsia"/>
        </w:rPr>
        <w:t>资产梳理漏洞扫描服务工具要求</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8234"/>
      </w:tblGrid>
      <w:tr w14:paraId="1561F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pct"/>
            <w:tcBorders>
              <w:top w:val="single" w:color="auto" w:sz="4" w:space="0"/>
              <w:left w:val="single" w:color="auto" w:sz="4" w:space="0"/>
              <w:bottom w:val="single" w:color="auto" w:sz="4" w:space="0"/>
              <w:right w:val="single" w:color="auto" w:sz="4" w:space="0"/>
            </w:tcBorders>
            <w:vAlign w:val="center"/>
          </w:tcPr>
          <w:p w14:paraId="7B0EA34B">
            <w:pPr>
              <w:widowControl/>
              <w:spacing w:line="440" w:lineRule="exact"/>
              <w:ind w:firstLine="0" w:firstLineChars="0"/>
              <w:rPr>
                <w:rFonts w:hint="eastAsia" w:ascii="仿宋" w:hAnsi="仿宋" w:eastAsia="仿宋" w:cs="微软雅黑"/>
                <w:kern w:val="0"/>
                <w:sz w:val="24"/>
                <w:lang w:eastAsia="en-US"/>
              </w:rPr>
            </w:pPr>
            <w:r>
              <w:rPr>
                <w:rFonts w:hint="eastAsia" w:ascii="仿宋" w:hAnsi="仿宋" w:eastAsia="仿宋" w:cs="微软雅黑"/>
                <w:kern w:val="0"/>
                <w:sz w:val="24"/>
                <w:lang w:eastAsia="en-US"/>
              </w:rPr>
              <w:t>功能指标</w:t>
            </w:r>
          </w:p>
        </w:tc>
        <w:tc>
          <w:tcPr>
            <w:tcW w:w="4227" w:type="pct"/>
            <w:tcBorders>
              <w:top w:val="single" w:color="auto" w:sz="4" w:space="0"/>
              <w:left w:val="single" w:color="auto" w:sz="4" w:space="0"/>
              <w:bottom w:val="single" w:color="auto" w:sz="4" w:space="0"/>
              <w:right w:val="single" w:color="auto" w:sz="4" w:space="0"/>
            </w:tcBorders>
            <w:vAlign w:val="center"/>
          </w:tcPr>
          <w:p w14:paraId="7B9B7199">
            <w:pPr>
              <w:widowControl/>
              <w:spacing w:line="440" w:lineRule="exact"/>
              <w:ind w:firstLine="0" w:firstLineChars="0"/>
              <w:rPr>
                <w:rFonts w:hint="eastAsia" w:ascii="仿宋" w:hAnsi="仿宋" w:eastAsia="仿宋" w:cs="微软雅黑"/>
                <w:kern w:val="0"/>
                <w:sz w:val="24"/>
                <w:lang w:eastAsia="en-US"/>
              </w:rPr>
            </w:pPr>
            <w:r>
              <w:rPr>
                <w:rFonts w:hint="eastAsia" w:ascii="仿宋" w:hAnsi="仿宋" w:eastAsia="仿宋" w:cs="微软雅黑"/>
                <w:kern w:val="0"/>
                <w:sz w:val="24"/>
                <w:lang w:eastAsia="en-US"/>
              </w:rPr>
              <w:t>指标要求</w:t>
            </w:r>
          </w:p>
        </w:tc>
      </w:tr>
      <w:tr w14:paraId="1BAB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73" w:type="pct"/>
            <w:tcBorders>
              <w:top w:val="single" w:color="auto" w:sz="4" w:space="0"/>
              <w:left w:val="single" w:color="auto" w:sz="4" w:space="0"/>
              <w:right w:val="single" w:color="auto" w:sz="4" w:space="0"/>
            </w:tcBorders>
            <w:vAlign w:val="center"/>
          </w:tcPr>
          <w:p w14:paraId="6A380A44">
            <w:pPr>
              <w:widowControl/>
              <w:spacing w:line="440" w:lineRule="exact"/>
              <w:ind w:firstLine="0" w:firstLineChars="0"/>
              <w:rPr>
                <w:rFonts w:hint="eastAsia" w:ascii="仿宋" w:hAnsi="仿宋" w:eastAsia="仿宋" w:cs="微软雅黑"/>
                <w:kern w:val="0"/>
                <w:sz w:val="24"/>
                <w:lang w:eastAsia="en-US"/>
              </w:rPr>
            </w:pPr>
            <w:r>
              <w:rPr>
                <w:rFonts w:hint="eastAsia" w:ascii="仿宋" w:hAnsi="仿宋" w:eastAsia="仿宋" w:cs="微软雅黑"/>
                <w:kern w:val="0"/>
                <w:sz w:val="24"/>
                <w:lang w:eastAsia="en-US"/>
              </w:rPr>
              <w:t>系统要求</w:t>
            </w:r>
          </w:p>
        </w:tc>
        <w:tc>
          <w:tcPr>
            <w:tcW w:w="4227" w:type="pct"/>
            <w:tcBorders>
              <w:top w:val="single" w:color="auto" w:sz="4" w:space="0"/>
              <w:left w:val="single" w:color="auto" w:sz="4" w:space="0"/>
              <w:bottom w:val="single" w:color="auto" w:sz="4" w:space="0"/>
              <w:right w:val="single" w:color="auto" w:sz="4" w:space="0"/>
            </w:tcBorders>
            <w:vAlign w:val="center"/>
          </w:tcPr>
          <w:p w14:paraId="02EEBBE8">
            <w:pPr>
              <w:widowControl/>
              <w:spacing w:line="440" w:lineRule="exact"/>
              <w:ind w:firstLine="485"/>
              <w:rPr>
                <w:rFonts w:hint="eastAsia" w:ascii="仿宋" w:hAnsi="仿宋" w:eastAsia="仿宋" w:cs="微软雅黑"/>
                <w:kern w:val="0"/>
                <w:sz w:val="24"/>
              </w:rPr>
            </w:pPr>
            <w:r>
              <w:rPr>
                <w:rFonts w:hint="eastAsia" w:ascii="仿宋" w:hAnsi="仿宋" w:eastAsia="仿宋" w:cs="微软雅黑"/>
                <w:kern w:val="0"/>
                <w:sz w:val="24"/>
              </w:rPr>
              <w:t>采用有自主知识产权的安全操作系统，采用B/S设计架构，并采用SSL加密通信方式，无须安装客户端，用户可通过浏览器远程方便的对产品进行管理。</w:t>
            </w:r>
          </w:p>
        </w:tc>
      </w:tr>
      <w:tr w14:paraId="3DBA0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pct"/>
            <w:vMerge w:val="restart"/>
            <w:tcBorders>
              <w:top w:val="single" w:color="auto" w:sz="4" w:space="0"/>
              <w:left w:val="single" w:color="auto" w:sz="4" w:space="0"/>
              <w:right w:val="single" w:color="auto" w:sz="4" w:space="0"/>
            </w:tcBorders>
            <w:vAlign w:val="center"/>
          </w:tcPr>
          <w:p w14:paraId="19B4709A">
            <w:pPr>
              <w:widowControl/>
              <w:spacing w:line="440" w:lineRule="exact"/>
              <w:ind w:firstLine="0" w:firstLineChars="0"/>
              <w:rPr>
                <w:rFonts w:hint="eastAsia" w:ascii="仿宋" w:hAnsi="仿宋" w:eastAsia="仿宋" w:cs="微软雅黑"/>
                <w:kern w:val="0"/>
                <w:sz w:val="24"/>
                <w:lang w:eastAsia="en-US"/>
              </w:rPr>
            </w:pPr>
            <w:r>
              <w:rPr>
                <w:rFonts w:hint="eastAsia" w:ascii="仿宋" w:hAnsi="仿宋" w:eastAsia="仿宋" w:cs="微软雅黑"/>
                <w:kern w:val="0"/>
                <w:sz w:val="24"/>
                <w:lang w:eastAsia="en-US"/>
              </w:rPr>
              <w:t>产品性能</w:t>
            </w:r>
          </w:p>
        </w:tc>
        <w:tc>
          <w:tcPr>
            <w:tcW w:w="4227" w:type="pct"/>
            <w:tcBorders>
              <w:top w:val="single" w:color="auto" w:sz="4" w:space="0"/>
              <w:left w:val="single" w:color="auto" w:sz="4" w:space="0"/>
              <w:bottom w:val="single" w:color="auto" w:sz="4" w:space="0"/>
              <w:right w:val="single" w:color="auto" w:sz="4" w:space="0"/>
            </w:tcBorders>
            <w:vAlign w:val="center"/>
          </w:tcPr>
          <w:p w14:paraId="3A5082E3">
            <w:pPr>
              <w:widowControl/>
              <w:spacing w:line="440" w:lineRule="exact"/>
              <w:ind w:firstLine="0" w:firstLineChars="0"/>
              <w:rPr>
                <w:rFonts w:hint="eastAsia" w:ascii="仿宋" w:hAnsi="仿宋" w:eastAsia="仿宋" w:cs="微软雅黑"/>
                <w:kern w:val="0"/>
                <w:sz w:val="24"/>
              </w:rPr>
            </w:pPr>
            <w:r>
              <w:rPr>
                <w:rFonts w:hint="eastAsia" w:ascii="仿宋" w:hAnsi="仿宋" w:eastAsia="仿宋" w:cs="微软雅黑"/>
                <w:kern w:val="0"/>
                <w:sz w:val="24"/>
              </w:rPr>
              <w:t>支持≥100个扫描IP授权（可扩展）、≥20个WEB漏洞扫描URL授权（可扩展）。其中系统漏洞扫描，基线配置核查，弱口令扫描受授权IP数限制，资产发现不限制IP数量。</w:t>
            </w:r>
          </w:p>
        </w:tc>
      </w:tr>
      <w:tr w14:paraId="55B2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pct"/>
            <w:vMerge w:val="continue"/>
            <w:tcBorders>
              <w:left w:val="single" w:color="auto" w:sz="4" w:space="0"/>
              <w:right w:val="single" w:color="auto" w:sz="4" w:space="0"/>
            </w:tcBorders>
            <w:vAlign w:val="center"/>
          </w:tcPr>
          <w:p w14:paraId="24D655F2">
            <w:pPr>
              <w:widowControl/>
              <w:spacing w:line="440" w:lineRule="exact"/>
              <w:ind w:firstLine="0" w:firstLineChars="0"/>
              <w:rPr>
                <w:rFonts w:hint="eastAsia" w:ascii="仿宋" w:hAnsi="仿宋" w:eastAsia="仿宋" w:cs="微软雅黑"/>
                <w:kern w:val="0"/>
                <w:sz w:val="24"/>
              </w:rPr>
            </w:pPr>
          </w:p>
        </w:tc>
        <w:tc>
          <w:tcPr>
            <w:tcW w:w="4227" w:type="pct"/>
            <w:tcBorders>
              <w:top w:val="single" w:color="auto" w:sz="4" w:space="0"/>
              <w:left w:val="single" w:color="auto" w:sz="4" w:space="0"/>
              <w:bottom w:val="single" w:color="auto" w:sz="4" w:space="0"/>
              <w:right w:val="single" w:color="auto" w:sz="4" w:space="0"/>
            </w:tcBorders>
            <w:vAlign w:val="center"/>
          </w:tcPr>
          <w:p w14:paraId="4DABDFBB">
            <w:pPr>
              <w:widowControl/>
              <w:spacing w:line="440" w:lineRule="exact"/>
              <w:ind w:firstLine="0" w:firstLineChars="0"/>
              <w:rPr>
                <w:rFonts w:hint="eastAsia" w:ascii="仿宋" w:hAnsi="仿宋" w:eastAsia="仿宋" w:cs="微软雅黑"/>
                <w:kern w:val="0"/>
                <w:sz w:val="24"/>
              </w:rPr>
            </w:pPr>
            <w:r>
              <w:rPr>
                <w:rFonts w:hint="eastAsia" w:ascii="仿宋" w:hAnsi="仿宋" w:eastAsia="仿宋" w:cs="微软雅黑"/>
                <w:kern w:val="0"/>
                <w:sz w:val="24"/>
              </w:rPr>
              <w:t>支持同时开启全插件系统漏洞扫描、WEB漏洞扫描、弱口令扫描、基线配置核查，扫描速度不低于1000ip/h。</w:t>
            </w:r>
          </w:p>
        </w:tc>
      </w:tr>
      <w:tr w14:paraId="55C2A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pct"/>
            <w:vMerge w:val="restart"/>
            <w:tcBorders>
              <w:top w:val="single" w:color="auto" w:sz="4" w:space="0"/>
              <w:left w:val="single" w:color="auto" w:sz="4" w:space="0"/>
              <w:right w:val="single" w:color="auto" w:sz="4" w:space="0"/>
            </w:tcBorders>
            <w:vAlign w:val="center"/>
          </w:tcPr>
          <w:p w14:paraId="4E13D0AD">
            <w:pPr>
              <w:widowControl/>
              <w:spacing w:line="440" w:lineRule="exact"/>
              <w:ind w:firstLine="0" w:firstLineChars="0"/>
              <w:rPr>
                <w:rFonts w:hint="eastAsia" w:ascii="仿宋" w:hAnsi="仿宋" w:eastAsia="仿宋" w:cs="微软雅黑"/>
                <w:kern w:val="0"/>
                <w:sz w:val="24"/>
                <w:lang w:eastAsia="en-US"/>
              </w:rPr>
            </w:pPr>
            <w:r>
              <w:rPr>
                <w:rFonts w:hint="eastAsia" w:ascii="仿宋" w:hAnsi="仿宋" w:eastAsia="仿宋" w:cs="微软雅黑"/>
                <w:kern w:val="0"/>
                <w:sz w:val="24"/>
                <w:lang w:eastAsia="en-US"/>
              </w:rPr>
              <w:t>风险统计服务</w:t>
            </w:r>
          </w:p>
        </w:tc>
        <w:tc>
          <w:tcPr>
            <w:tcW w:w="4227" w:type="pct"/>
            <w:tcBorders>
              <w:top w:val="single" w:color="auto" w:sz="4" w:space="0"/>
              <w:left w:val="single" w:color="auto" w:sz="4" w:space="0"/>
              <w:bottom w:val="single" w:color="auto" w:sz="4" w:space="0"/>
              <w:right w:val="single" w:color="auto" w:sz="4" w:space="0"/>
            </w:tcBorders>
            <w:vAlign w:val="center"/>
          </w:tcPr>
          <w:p w14:paraId="6939496C">
            <w:pPr>
              <w:widowControl/>
              <w:spacing w:line="440" w:lineRule="exact"/>
              <w:ind w:firstLine="0" w:firstLineChars="0"/>
              <w:rPr>
                <w:rFonts w:hint="eastAsia" w:ascii="仿宋" w:hAnsi="仿宋" w:eastAsia="仿宋" w:cs="微软雅黑"/>
                <w:kern w:val="0"/>
                <w:sz w:val="24"/>
                <w:lang w:eastAsia="en-US"/>
              </w:rPr>
            </w:pPr>
            <w:r>
              <w:rPr>
                <w:rFonts w:hint="eastAsia" w:ascii="仿宋" w:hAnsi="仿宋" w:eastAsia="仿宋" w:cs="微软雅黑"/>
                <w:kern w:val="0"/>
                <w:sz w:val="24"/>
              </w:rPr>
              <w:t>★支持全局风险统计功能，通过扇形图、条状图、标签、表格等形式直观展示资产风险分布、漏洞风险等级分布、紧急漏洞、风险资产清单等信息，并可查看详情。</w:t>
            </w:r>
            <w:r>
              <w:rPr>
                <w:rFonts w:hint="eastAsia" w:ascii="仿宋" w:hAnsi="仿宋" w:eastAsia="仿宋" w:cs="微软雅黑"/>
                <w:kern w:val="0"/>
                <w:sz w:val="24"/>
                <w:lang w:eastAsia="en-US"/>
              </w:rPr>
              <w:t>（需提供产品功能截图证明）</w:t>
            </w:r>
          </w:p>
        </w:tc>
      </w:tr>
      <w:tr w14:paraId="32CFF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pct"/>
            <w:vMerge w:val="continue"/>
            <w:tcBorders>
              <w:left w:val="single" w:color="auto" w:sz="4" w:space="0"/>
              <w:right w:val="single" w:color="auto" w:sz="4" w:space="0"/>
            </w:tcBorders>
            <w:vAlign w:val="center"/>
          </w:tcPr>
          <w:p w14:paraId="277A566A">
            <w:pPr>
              <w:widowControl/>
              <w:spacing w:line="440" w:lineRule="exact"/>
              <w:ind w:firstLine="0" w:firstLineChars="0"/>
              <w:rPr>
                <w:rFonts w:hint="eastAsia" w:ascii="仿宋" w:hAnsi="仿宋" w:eastAsia="仿宋" w:cs="微软雅黑"/>
                <w:kern w:val="0"/>
                <w:sz w:val="24"/>
                <w:lang w:eastAsia="en-US"/>
              </w:rPr>
            </w:pPr>
          </w:p>
        </w:tc>
        <w:tc>
          <w:tcPr>
            <w:tcW w:w="4227" w:type="pct"/>
            <w:tcBorders>
              <w:top w:val="single" w:color="auto" w:sz="4" w:space="0"/>
              <w:left w:val="single" w:color="auto" w:sz="4" w:space="0"/>
              <w:bottom w:val="single" w:color="auto" w:sz="4" w:space="0"/>
              <w:right w:val="single" w:color="auto" w:sz="4" w:space="0"/>
            </w:tcBorders>
            <w:vAlign w:val="center"/>
          </w:tcPr>
          <w:p w14:paraId="1B51F927">
            <w:pPr>
              <w:widowControl/>
              <w:spacing w:line="440" w:lineRule="exact"/>
              <w:ind w:firstLine="0" w:firstLineChars="0"/>
              <w:rPr>
                <w:rFonts w:hint="eastAsia" w:ascii="仿宋" w:hAnsi="仿宋" w:eastAsia="仿宋" w:cs="微软雅黑"/>
                <w:kern w:val="0"/>
                <w:sz w:val="24"/>
              </w:rPr>
            </w:pPr>
            <w:r>
              <w:rPr>
                <w:rFonts w:hint="eastAsia" w:ascii="仿宋" w:hAnsi="仿宋" w:eastAsia="仿宋" w:cs="微软雅黑"/>
                <w:kern w:val="0"/>
                <w:sz w:val="24"/>
              </w:rPr>
              <w:t>支持从紧急漏洞的视角展示主机风险，清晰呈现已发生和未发生的紧急漏洞类型，支持以报表形式展示紧急漏洞的风险等级、影响资产数、漏洞数量、最近发现时间，可关联漏洞详情。</w:t>
            </w:r>
          </w:p>
        </w:tc>
      </w:tr>
      <w:tr w14:paraId="4F8E0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pct"/>
            <w:tcBorders>
              <w:left w:val="single" w:color="auto" w:sz="4" w:space="0"/>
              <w:right w:val="single" w:color="auto" w:sz="4" w:space="0"/>
            </w:tcBorders>
            <w:vAlign w:val="center"/>
          </w:tcPr>
          <w:p w14:paraId="70063380">
            <w:pPr>
              <w:widowControl/>
              <w:spacing w:line="440" w:lineRule="exact"/>
              <w:ind w:firstLine="0" w:firstLineChars="0"/>
              <w:rPr>
                <w:rFonts w:hint="eastAsia" w:ascii="仿宋" w:hAnsi="仿宋" w:eastAsia="仿宋" w:cs="微软雅黑"/>
                <w:kern w:val="0"/>
                <w:sz w:val="24"/>
                <w:lang w:eastAsia="en-US"/>
              </w:rPr>
            </w:pPr>
            <w:r>
              <w:rPr>
                <w:rFonts w:hint="eastAsia" w:ascii="仿宋" w:hAnsi="仿宋" w:eastAsia="仿宋" w:cs="微软雅黑"/>
                <w:kern w:val="0"/>
                <w:sz w:val="24"/>
                <w:lang w:eastAsia="en-US"/>
              </w:rPr>
              <w:t>任务类型</w:t>
            </w:r>
          </w:p>
        </w:tc>
        <w:tc>
          <w:tcPr>
            <w:tcW w:w="4227" w:type="pct"/>
            <w:tcBorders>
              <w:top w:val="single" w:color="auto" w:sz="4" w:space="0"/>
              <w:left w:val="single" w:color="auto" w:sz="4" w:space="0"/>
              <w:bottom w:val="single" w:color="auto" w:sz="4" w:space="0"/>
              <w:right w:val="single" w:color="auto" w:sz="4" w:space="0"/>
            </w:tcBorders>
            <w:vAlign w:val="center"/>
          </w:tcPr>
          <w:p w14:paraId="38F2A418">
            <w:pPr>
              <w:widowControl/>
              <w:spacing w:line="440" w:lineRule="exact"/>
              <w:ind w:firstLine="0" w:firstLineChars="0"/>
              <w:rPr>
                <w:rFonts w:hint="eastAsia" w:ascii="仿宋" w:hAnsi="仿宋" w:eastAsia="仿宋" w:cs="微软雅黑"/>
                <w:kern w:val="0"/>
                <w:sz w:val="24"/>
                <w:lang w:eastAsia="en-US"/>
              </w:rPr>
            </w:pPr>
            <w:r>
              <w:rPr>
                <w:rFonts w:hint="eastAsia" w:ascii="仿宋" w:hAnsi="仿宋" w:eastAsia="仿宋" w:cs="微软雅黑"/>
                <w:kern w:val="0"/>
                <w:sz w:val="24"/>
              </w:rPr>
              <w:t>★支持全面扫描、资产发现、系统漏洞扫描、弱口令扫描、WEB漏洞扫描、基线配置核查六种任务类型，其中全面扫描支持系统漏洞扫描、WEB漏洞扫描、弱口令扫描同时执行。</w:t>
            </w:r>
            <w:r>
              <w:rPr>
                <w:rFonts w:hint="eastAsia" w:ascii="仿宋" w:hAnsi="仿宋" w:eastAsia="仿宋" w:cs="微软雅黑"/>
                <w:kern w:val="0"/>
                <w:sz w:val="24"/>
                <w:lang w:eastAsia="en-US"/>
              </w:rPr>
              <w:t>（需提供产品功能截图证明）</w:t>
            </w:r>
          </w:p>
        </w:tc>
      </w:tr>
      <w:tr w14:paraId="2070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pct"/>
            <w:vMerge w:val="restart"/>
            <w:tcBorders>
              <w:left w:val="single" w:color="auto" w:sz="4" w:space="0"/>
              <w:right w:val="single" w:color="auto" w:sz="4" w:space="0"/>
            </w:tcBorders>
            <w:vAlign w:val="center"/>
          </w:tcPr>
          <w:p w14:paraId="1733E6E6">
            <w:pPr>
              <w:widowControl/>
              <w:spacing w:line="440" w:lineRule="exact"/>
              <w:ind w:firstLine="0" w:firstLineChars="0"/>
              <w:rPr>
                <w:rFonts w:hint="eastAsia" w:ascii="仿宋" w:hAnsi="仿宋" w:eastAsia="仿宋" w:cs="微软雅黑"/>
                <w:kern w:val="0"/>
                <w:sz w:val="24"/>
                <w:lang w:eastAsia="en-US"/>
              </w:rPr>
            </w:pPr>
            <w:r>
              <w:rPr>
                <w:rFonts w:hint="eastAsia" w:ascii="仿宋" w:hAnsi="仿宋" w:eastAsia="仿宋" w:cs="微软雅黑"/>
                <w:kern w:val="0"/>
                <w:sz w:val="24"/>
                <w:lang w:eastAsia="en-US"/>
              </w:rPr>
              <w:t>系统漏洞扫描服务</w:t>
            </w:r>
          </w:p>
        </w:tc>
        <w:tc>
          <w:tcPr>
            <w:tcW w:w="4227" w:type="pct"/>
            <w:tcBorders>
              <w:top w:val="single" w:color="auto" w:sz="4" w:space="0"/>
              <w:left w:val="single" w:color="auto" w:sz="4" w:space="0"/>
              <w:bottom w:val="single" w:color="auto" w:sz="4" w:space="0"/>
              <w:right w:val="single" w:color="auto" w:sz="4" w:space="0"/>
            </w:tcBorders>
            <w:vAlign w:val="center"/>
          </w:tcPr>
          <w:p w14:paraId="3D2DC877">
            <w:pPr>
              <w:widowControl/>
              <w:spacing w:line="440" w:lineRule="exact"/>
              <w:ind w:firstLine="0" w:firstLineChars="0"/>
              <w:rPr>
                <w:rFonts w:hint="eastAsia" w:ascii="仿宋" w:hAnsi="仿宋" w:eastAsia="仿宋" w:cs="微软雅黑"/>
                <w:kern w:val="0"/>
                <w:sz w:val="24"/>
              </w:rPr>
            </w:pPr>
            <w:r>
              <w:rPr>
                <w:rFonts w:hint="eastAsia" w:ascii="仿宋" w:hAnsi="仿宋" w:eastAsia="仿宋" w:cs="微软雅黑"/>
                <w:kern w:val="0"/>
                <w:sz w:val="24"/>
              </w:rPr>
              <w:t>支持认证管理功能，对系统登录信息进行统一管理和配置，提供登录信息的新增、删除和批量导入功能，在系统漏洞扫描和基线核查登录扫描时，可从认证管理中批量导入登录信息。</w:t>
            </w:r>
          </w:p>
        </w:tc>
      </w:tr>
      <w:tr w14:paraId="3287E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pct"/>
            <w:vMerge w:val="continue"/>
            <w:tcBorders>
              <w:left w:val="single" w:color="auto" w:sz="4" w:space="0"/>
              <w:right w:val="single" w:color="auto" w:sz="4" w:space="0"/>
            </w:tcBorders>
            <w:vAlign w:val="center"/>
          </w:tcPr>
          <w:p w14:paraId="11F6F1A3">
            <w:pPr>
              <w:widowControl/>
              <w:spacing w:line="440" w:lineRule="exact"/>
              <w:ind w:firstLine="0" w:firstLineChars="0"/>
              <w:rPr>
                <w:rFonts w:hint="eastAsia" w:ascii="仿宋" w:hAnsi="仿宋" w:eastAsia="仿宋" w:cs="微软雅黑"/>
                <w:kern w:val="0"/>
                <w:sz w:val="24"/>
              </w:rPr>
            </w:pPr>
          </w:p>
        </w:tc>
        <w:tc>
          <w:tcPr>
            <w:tcW w:w="4227" w:type="pct"/>
            <w:tcBorders>
              <w:top w:val="single" w:color="auto" w:sz="4" w:space="0"/>
              <w:left w:val="single" w:color="auto" w:sz="4" w:space="0"/>
              <w:bottom w:val="single" w:color="auto" w:sz="4" w:space="0"/>
              <w:right w:val="single" w:color="auto" w:sz="4" w:space="0"/>
            </w:tcBorders>
            <w:vAlign w:val="center"/>
          </w:tcPr>
          <w:p w14:paraId="49A0A287">
            <w:pPr>
              <w:widowControl/>
              <w:spacing w:line="440" w:lineRule="exact"/>
              <w:ind w:firstLine="0" w:firstLineChars="0"/>
              <w:rPr>
                <w:rFonts w:hint="eastAsia" w:ascii="仿宋" w:hAnsi="仿宋" w:eastAsia="仿宋" w:cs="微软雅黑"/>
                <w:kern w:val="0"/>
                <w:sz w:val="24"/>
              </w:rPr>
            </w:pPr>
            <w:r>
              <w:rPr>
                <w:rFonts w:hint="eastAsia" w:ascii="仿宋" w:hAnsi="仿宋" w:eastAsia="仿宋" w:cs="微软雅黑"/>
                <w:kern w:val="0"/>
                <w:sz w:val="24"/>
              </w:rPr>
              <w:t>内置不同的系统漏洞模板，包括高可利用系统漏洞、原理检测系统漏洞、中间件漏洞、数据库漏洞等类型，支持报表形式展示漏洞模板风险等级分布概览，支持报表形式展示漏洞模板详情，包括漏洞总数、漏洞名称、漏洞类型、风险等级等信息。</w:t>
            </w:r>
          </w:p>
        </w:tc>
      </w:tr>
      <w:tr w14:paraId="2D66F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pct"/>
            <w:vMerge w:val="restart"/>
            <w:tcBorders>
              <w:left w:val="single" w:color="auto" w:sz="4" w:space="0"/>
              <w:right w:val="single" w:color="auto" w:sz="4" w:space="0"/>
            </w:tcBorders>
            <w:vAlign w:val="center"/>
          </w:tcPr>
          <w:p w14:paraId="224BF824">
            <w:pPr>
              <w:widowControl/>
              <w:spacing w:line="440" w:lineRule="exact"/>
              <w:ind w:firstLine="0" w:firstLineChars="0"/>
              <w:rPr>
                <w:rFonts w:hint="eastAsia" w:ascii="仿宋" w:hAnsi="仿宋" w:eastAsia="仿宋" w:cs="微软雅黑"/>
                <w:kern w:val="0"/>
                <w:sz w:val="24"/>
                <w:lang w:eastAsia="en-US"/>
              </w:rPr>
            </w:pPr>
            <w:r>
              <w:rPr>
                <w:rFonts w:hint="eastAsia" w:ascii="仿宋" w:hAnsi="仿宋" w:eastAsia="仿宋" w:cs="微软雅黑"/>
                <w:kern w:val="0"/>
                <w:sz w:val="24"/>
                <w:lang w:eastAsia="en-US"/>
              </w:rPr>
              <w:t>WEB漏洞扫描服务</w:t>
            </w:r>
          </w:p>
        </w:tc>
        <w:tc>
          <w:tcPr>
            <w:tcW w:w="4227" w:type="pct"/>
            <w:tcBorders>
              <w:top w:val="single" w:color="auto" w:sz="4" w:space="0"/>
              <w:left w:val="single" w:color="auto" w:sz="4" w:space="0"/>
              <w:bottom w:val="single" w:color="auto" w:sz="4" w:space="0"/>
              <w:right w:val="single" w:color="auto" w:sz="4" w:space="0"/>
            </w:tcBorders>
            <w:vAlign w:val="center"/>
          </w:tcPr>
          <w:p w14:paraId="577B39D8">
            <w:pPr>
              <w:widowControl/>
              <w:spacing w:line="440" w:lineRule="exact"/>
              <w:ind w:firstLine="0" w:firstLineChars="0"/>
              <w:rPr>
                <w:rFonts w:hint="eastAsia" w:ascii="仿宋" w:hAnsi="仿宋" w:eastAsia="仿宋" w:cs="微软雅黑"/>
                <w:kern w:val="0"/>
                <w:sz w:val="24"/>
              </w:rPr>
            </w:pPr>
            <w:r>
              <w:rPr>
                <w:rFonts w:hint="eastAsia" w:ascii="仿宋" w:hAnsi="仿宋" w:eastAsia="仿宋" w:cs="微软雅黑"/>
                <w:kern w:val="0"/>
                <w:sz w:val="24"/>
              </w:rPr>
              <w:t>支持行业通用标准OWASP，支持通用WEB漏洞检测，如：SQL注入、XSS、目录遍历、本地/远程文件包含漏洞、安全配置错误、命令执行、敏感信息泄露等。</w:t>
            </w:r>
          </w:p>
        </w:tc>
      </w:tr>
      <w:tr w14:paraId="7B18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pct"/>
            <w:vMerge w:val="continue"/>
            <w:tcBorders>
              <w:left w:val="single" w:color="auto" w:sz="4" w:space="0"/>
              <w:right w:val="single" w:color="auto" w:sz="4" w:space="0"/>
            </w:tcBorders>
            <w:vAlign w:val="center"/>
          </w:tcPr>
          <w:p w14:paraId="6273CCCE">
            <w:pPr>
              <w:widowControl/>
              <w:spacing w:line="440" w:lineRule="exact"/>
              <w:ind w:firstLine="0" w:firstLineChars="0"/>
              <w:rPr>
                <w:rFonts w:hint="eastAsia" w:ascii="仿宋" w:hAnsi="仿宋" w:eastAsia="仿宋" w:cs="微软雅黑"/>
                <w:kern w:val="0"/>
                <w:sz w:val="24"/>
              </w:rPr>
            </w:pPr>
          </w:p>
        </w:tc>
        <w:tc>
          <w:tcPr>
            <w:tcW w:w="4227" w:type="pct"/>
            <w:tcBorders>
              <w:top w:val="single" w:color="auto" w:sz="4" w:space="0"/>
              <w:left w:val="single" w:color="auto" w:sz="4" w:space="0"/>
              <w:bottom w:val="single" w:color="auto" w:sz="4" w:space="0"/>
              <w:right w:val="single" w:color="auto" w:sz="4" w:space="0"/>
            </w:tcBorders>
            <w:vAlign w:val="center"/>
          </w:tcPr>
          <w:p w14:paraId="0F84F785">
            <w:pPr>
              <w:widowControl/>
              <w:spacing w:line="440" w:lineRule="exact"/>
              <w:ind w:firstLine="0" w:firstLineChars="0"/>
              <w:rPr>
                <w:rFonts w:hint="eastAsia" w:ascii="仿宋" w:hAnsi="仿宋" w:eastAsia="仿宋" w:cs="微软雅黑"/>
                <w:kern w:val="0"/>
                <w:sz w:val="24"/>
              </w:rPr>
            </w:pPr>
            <w:r>
              <w:rPr>
                <w:rFonts w:hint="eastAsia" w:ascii="仿宋" w:hAnsi="仿宋" w:eastAsia="仿宋" w:cs="微软雅黑"/>
                <w:kern w:val="0"/>
                <w:sz w:val="24"/>
              </w:rPr>
              <w:t>支持信息泄漏类漏洞检测，如：mail地址、敏感目录暴露、内部ip地址、会话令牌、源码、数据库备份文件、SVN文件、系统重要配置、日志文件向外网泄漏等。</w:t>
            </w:r>
          </w:p>
        </w:tc>
      </w:tr>
      <w:tr w14:paraId="6BA47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pct"/>
            <w:tcBorders>
              <w:left w:val="single" w:color="auto" w:sz="4" w:space="0"/>
              <w:right w:val="single" w:color="auto" w:sz="4" w:space="0"/>
            </w:tcBorders>
            <w:vAlign w:val="center"/>
          </w:tcPr>
          <w:p w14:paraId="721C98DD">
            <w:pPr>
              <w:widowControl/>
              <w:spacing w:line="440" w:lineRule="exact"/>
              <w:ind w:firstLine="0" w:firstLineChars="0"/>
              <w:rPr>
                <w:rFonts w:hint="eastAsia" w:ascii="仿宋" w:hAnsi="仿宋" w:eastAsia="仿宋" w:cs="微软雅黑"/>
                <w:kern w:val="0"/>
                <w:sz w:val="24"/>
                <w:lang w:eastAsia="en-US"/>
              </w:rPr>
            </w:pPr>
            <w:r>
              <w:rPr>
                <w:rFonts w:hint="eastAsia" w:ascii="仿宋" w:hAnsi="仿宋" w:eastAsia="仿宋" w:cs="微软雅黑"/>
                <w:kern w:val="0"/>
                <w:sz w:val="24"/>
                <w:lang w:eastAsia="en-US"/>
              </w:rPr>
              <w:t>弱口令扫描服务</w:t>
            </w:r>
          </w:p>
        </w:tc>
        <w:tc>
          <w:tcPr>
            <w:tcW w:w="4227" w:type="pct"/>
            <w:tcBorders>
              <w:top w:val="single" w:color="auto" w:sz="4" w:space="0"/>
              <w:left w:val="single" w:color="auto" w:sz="4" w:space="0"/>
              <w:bottom w:val="single" w:color="auto" w:sz="4" w:space="0"/>
              <w:right w:val="single" w:color="auto" w:sz="4" w:space="0"/>
            </w:tcBorders>
            <w:vAlign w:val="center"/>
          </w:tcPr>
          <w:p w14:paraId="4E21396A">
            <w:pPr>
              <w:widowControl/>
              <w:spacing w:line="440" w:lineRule="exact"/>
              <w:ind w:firstLine="0" w:firstLineChars="0"/>
              <w:rPr>
                <w:rFonts w:hint="eastAsia" w:ascii="仿宋" w:hAnsi="仿宋" w:eastAsia="仿宋" w:cs="微软雅黑"/>
                <w:kern w:val="0"/>
                <w:sz w:val="24"/>
              </w:rPr>
            </w:pPr>
            <w:r>
              <w:rPr>
                <w:rFonts w:hint="eastAsia" w:ascii="仿宋" w:hAnsi="仿宋" w:eastAsia="仿宋" w:cs="微软雅黑"/>
                <w:kern w:val="0"/>
                <w:sz w:val="24"/>
              </w:rPr>
              <w:t>产品内置常用字典和精简字典两种弱口令扫描模板，常用字典包含常见的用户名及TOP160密码，精简密码适用于爆破速度快的密码猜解场景，支持自定义新增密码字典功能。</w:t>
            </w:r>
          </w:p>
        </w:tc>
      </w:tr>
      <w:tr w14:paraId="1103D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pct"/>
            <w:tcBorders>
              <w:left w:val="single" w:color="auto" w:sz="4" w:space="0"/>
              <w:right w:val="single" w:color="auto" w:sz="4" w:space="0"/>
            </w:tcBorders>
            <w:vAlign w:val="center"/>
          </w:tcPr>
          <w:p w14:paraId="20692050">
            <w:pPr>
              <w:widowControl/>
              <w:spacing w:line="440" w:lineRule="exact"/>
              <w:ind w:firstLine="0" w:firstLineChars="0"/>
              <w:rPr>
                <w:rFonts w:hint="eastAsia" w:ascii="仿宋" w:hAnsi="仿宋" w:eastAsia="仿宋" w:cs="微软雅黑"/>
                <w:kern w:val="0"/>
                <w:sz w:val="24"/>
                <w:lang w:eastAsia="en-US"/>
              </w:rPr>
            </w:pPr>
            <w:r>
              <w:rPr>
                <w:rFonts w:hint="eastAsia" w:ascii="仿宋" w:hAnsi="仿宋" w:eastAsia="仿宋" w:cs="微软雅黑"/>
                <w:kern w:val="0"/>
                <w:sz w:val="24"/>
                <w:lang w:eastAsia="en-US"/>
              </w:rPr>
              <w:t>合规自检平台服务</w:t>
            </w:r>
          </w:p>
        </w:tc>
        <w:tc>
          <w:tcPr>
            <w:tcW w:w="4227" w:type="pct"/>
            <w:tcBorders>
              <w:top w:val="single" w:color="auto" w:sz="4" w:space="0"/>
              <w:left w:val="single" w:color="auto" w:sz="4" w:space="0"/>
              <w:bottom w:val="single" w:color="auto" w:sz="4" w:space="0"/>
              <w:right w:val="single" w:color="auto" w:sz="4" w:space="0"/>
            </w:tcBorders>
            <w:vAlign w:val="center"/>
          </w:tcPr>
          <w:p w14:paraId="7C096F68">
            <w:pPr>
              <w:widowControl/>
              <w:spacing w:line="440" w:lineRule="exact"/>
              <w:ind w:firstLine="0" w:firstLineChars="0"/>
              <w:rPr>
                <w:rFonts w:hint="eastAsia" w:ascii="仿宋" w:hAnsi="仿宋" w:eastAsia="仿宋" w:cs="微软雅黑"/>
                <w:kern w:val="0"/>
                <w:sz w:val="24"/>
                <w:lang w:eastAsia="en-US"/>
              </w:rPr>
            </w:pPr>
            <w:r>
              <w:rPr>
                <w:rFonts w:hint="eastAsia" w:ascii="仿宋" w:hAnsi="仿宋" w:eastAsia="仿宋" w:cs="微软雅黑"/>
                <w:kern w:val="0"/>
                <w:sz w:val="24"/>
              </w:rPr>
              <w:t>★按“一个中心、三重防护”的架构展示检测结果，每个检测结果呈现具体问题及整改建议，系统支持手动核查确认、整改后重新检测、以及手动导入全局分析和人工核查报告来对测评报告中的结果进行核查确认，其中手动核查确认支持单项核查确认和批量核查确认。</w:t>
            </w:r>
            <w:r>
              <w:rPr>
                <w:rFonts w:hint="eastAsia" w:ascii="仿宋" w:hAnsi="仿宋" w:eastAsia="仿宋" w:cs="微软雅黑"/>
                <w:kern w:val="0"/>
                <w:sz w:val="24"/>
                <w:lang w:eastAsia="en-US"/>
              </w:rPr>
              <w:t>（需提供产品功能截图证明）</w:t>
            </w:r>
          </w:p>
        </w:tc>
      </w:tr>
      <w:tr w14:paraId="70FE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pct"/>
            <w:tcBorders>
              <w:left w:val="single" w:color="auto" w:sz="4" w:space="0"/>
              <w:right w:val="single" w:color="auto" w:sz="4" w:space="0"/>
            </w:tcBorders>
            <w:vAlign w:val="center"/>
          </w:tcPr>
          <w:p w14:paraId="5BE31654">
            <w:pPr>
              <w:widowControl/>
              <w:spacing w:line="440" w:lineRule="exact"/>
              <w:ind w:firstLine="0" w:firstLineChars="0"/>
              <w:rPr>
                <w:rFonts w:hint="eastAsia" w:ascii="仿宋" w:hAnsi="仿宋" w:eastAsia="仿宋" w:cs="微软雅黑"/>
                <w:kern w:val="0"/>
                <w:sz w:val="24"/>
                <w:lang w:eastAsia="en-US"/>
              </w:rPr>
            </w:pPr>
            <w:r>
              <w:rPr>
                <w:rFonts w:hint="eastAsia" w:ascii="仿宋" w:hAnsi="仿宋" w:eastAsia="仿宋" w:cs="微软雅黑"/>
                <w:kern w:val="0"/>
                <w:sz w:val="24"/>
                <w:lang w:eastAsia="en-US"/>
              </w:rPr>
              <w:t>报告管理服务</w:t>
            </w:r>
          </w:p>
        </w:tc>
        <w:tc>
          <w:tcPr>
            <w:tcW w:w="4227" w:type="pct"/>
            <w:tcBorders>
              <w:top w:val="single" w:color="auto" w:sz="4" w:space="0"/>
              <w:left w:val="single" w:color="auto" w:sz="4" w:space="0"/>
              <w:bottom w:val="single" w:color="auto" w:sz="4" w:space="0"/>
              <w:right w:val="single" w:color="auto" w:sz="4" w:space="0"/>
            </w:tcBorders>
            <w:vAlign w:val="center"/>
          </w:tcPr>
          <w:p w14:paraId="31DC7194">
            <w:pPr>
              <w:widowControl/>
              <w:spacing w:line="440" w:lineRule="exact"/>
              <w:ind w:firstLine="0" w:firstLineChars="0"/>
              <w:rPr>
                <w:rFonts w:hint="eastAsia" w:ascii="仿宋" w:hAnsi="仿宋" w:eastAsia="仿宋" w:cs="微软雅黑"/>
                <w:kern w:val="0"/>
                <w:sz w:val="24"/>
                <w:lang w:eastAsia="en-US"/>
              </w:rPr>
            </w:pPr>
            <w:r>
              <w:rPr>
                <w:rFonts w:hint="eastAsia" w:ascii="仿宋" w:hAnsi="仿宋" w:eastAsia="仿宋" w:cs="微软雅黑"/>
                <w:kern w:val="0"/>
                <w:sz w:val="24"/>
              </w:rPr>
              <w:t>★产品支持对系统漏洞、WEB漏洞、基线配置、弱口令进行扫描和分析，可同时输出包含系统漏洞扫描、WEB漏洞扫描、基线配置核查、弱口令扫描结果的报表。</w:t>
            </w:r>
            <w:r>
              <w:rPr>
                <w:rFonts w:hint="eastAsia" w:ascii="仿宋" w:hAnsi="仿宋" w:eastAsia="仿宋" w:cs="微软雅黑"/>
                <w:kern w:val="0"/>
                <w:sz w:val="24"/>
                <w:lang w:eastAsia="en-US"/>
              </w:rPr>
              <w:t>（需提供产品功能截图证明）</w:t>
            </w:r>
          </w:p>
        </w:tc>
      </w:tr>
      <w:tr w14:paraId="23953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73" w:type="pct"/>
            <w:tcBorders>
              <w:left w:val="single" w:color="auto" w:sz="4" w:space="0"/>
              <w:right w:val="single" w:color="auto" w:sz="4" w:space="0"/>
            </w:tcBorders>
            <w:vAlign w:val="center"/>
          </w:tcPr>
          <w:p w14:paraId="5C192A9F">
            <w:pPr>
              <w:widowControl/>
              <w:spacing w:line="440" w:lineRule="exact"/>
              <w:ind w:firstLine="0" w:firstLineChars="0"/>
              <w:rPr>
                <w:rFonts w:hint="eastAsia" w:ascii="仿宋" w:hAnsi="仿宋" w:eastAsia="仿宋" w:cs="微软雅黑"/>
                <w:kern w:val="0"/>
                <w:sz w:val="24"/>
                <w:lang w:eastAsia="en-US"/>
              </w:rPr>
            </w:pPr>
            <w:r>
              <w:rPr>
                <w:rFonts w:hint="eastAsia" w:ascii="仿宋" w:hAnsi="仿宋" w:eastAsia="仿宋" w:cs="微软雅黑"/>
                <w:kern w:val="0"/>
                <w:sz w:val="24"/>
                <w:lang w:eastAsia="en-US"/>
              </w:rPr>
              <w:t>服务资质</w:t>
            </w:r>
          </w:p>
        </w:tc>
        <w:tc>
          <w:tcPr>
            <w:tcW w:w="4227" w:type="pct"/>
            <w:tcBorders>
              <w:top w:val="single" w:color="auto" w:sz="4" w:space="0"/>
              <w:left w:val="single" w:color="auto" w:sz="4" w:space="0"/>
              <w:bottom w:val="single" w:color="auto" w:sz="4" w:space="0"/>
              <w:right w:val="single" w:color="auto" w:sz="4" w:space="0"/>
            </w:tcBorders>
            <w:vAlign w:val="center"/>
          </w:tcPr>
          <w:p w14:paraId="4C84F419">
            <w:pPr>
              <w:widowControl/>
              <w:spacing w:line="440" w:lineRule="exact"/>
              <w:ind w:firstLine="0" w:firstLineChars="0"/>
              <w:rPr>
                <w:rFonts w:hint="eastAsia" w:ascii="仿宋" w:hAnsi="仿宋" w:eastAsia="仿宋" w:cs="微软雅黑"/>
                <w:kern w:val="0"/>
                <w:sz w:val="24"/>
              </w:rPr>
            </w:pPr>
            <w:r>
              <w:rPr>
                <w:rFonts w:hint="eastAsia" w:ascii="仿宋" w:hAnsi="仿宋" w:eastAsia="仿宋" w:cs="微软雅黑"/>
                <w:kern w:val="0"/>
                <w:sz w:val="24"/>
              </w:rPr>
              <w:t>所投产品应具有国家信息安全漏洞库（CNNVD）兼容性资质证书，需提供有效证书复印件。</w:t>
            </w:r>
          </w:p>
        </w:tc>
      </w:tr>
      <w:tr w14:paraId="53355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73" w:type="pct"/>
            <w:vMerge w:val="restart"/>
            <w:tcBorders>
              <w:left w:val="single" w:color="auto" w:sz="4" w:space="0"/>
              <w:right w:val="single" w:color="auto" w:sz="4" w:space="0"/>
            </w:tcBorders>
            <w:vAlign w:val="center"/>
          </w:tcPr>
          <w:p w14:paraId="2D80303B">
            <w:pPr>
              <w:widowControl/>
              <w:spacing w:line="440" w:lineRule="exact"/>
              <w:ind w:firstLine="0" w:firstLineChars="0"/>
              <w:rPr>
                <w:rFonts w:hint="eastAsia" w:ascii="仿宋" w:hAnsi="仿宋" w:eastAsia="仿宋" w:cs="微软雅黑"/>
                <w:kern w:val="0"/>
                <w:sz w:val="24"/>
                <w:lang w:eastAsia="en-US"/>
              </w:rPr>
            </w:pPr>
            <w:r>
              <w:rPr>
                <w:rFonts w:hint="eastAsia" w:ascii="仿宋" w:hAnsi="仿宋" w:eastAsia="仿宋" w:cs="微软雅黑"/>
                <w:kern w:val="0"/>
                <w:sz w:val="24"/>
                <w:lang w:eastAsia="en-US"/>
              </w:rPr>
              <w:t>服务厂商资质</w:t>
            </w:r>
          </w:p>
        </w:tc>
        <w:tc>
          <w:tcPr>
            <w:tcW w:w="4227" w:type="pct"/>
            <w:tcBorders>
              <w:top w:val="single" w:color="auto" w:sz="4" w:space="0"/>
              <w:left w:val="single" w:color="auto" w:sz="4" w:space="0"/>
              <w:bottom w:val="single" w:color="auto" w:sz="4" w:space="0"/>
              <w:right w:val="single" w:color="auto" w:sz="4" w:space="0"/>
            </w:tcBorders>
            <w:vAlign w:val="center"/>
          </w:tcPr>
          <w:p w14:paraId="29C705C7">
            <w:pPr>
              <w:widowControl/>
              <w:spacing w:line="440" w:lineRule="exact"/>
              <w:ind w:firstLine="0" w:firstLineChars="0"/>
              <w:rPr>
                <w:rFonts w:hint="eastAsia" w:ascii="仿宋" w:hAnsi="仿宋" w:eastAsia="仿宋" w:cs="微软雅黑"/>
                <w:kern w:val="0"/>
                <w:sz w:val="24"/>
              </w:rPr>
            </w:pPr>
            <w:r>
              <w:rPr>
                <w:rFonts w:hint="eastAsia" w:ascii="仿宋" w:hAnsi="仿宋" w:eastAsia="仿宋" w:cs="微软雅黑"/>
                <w:kern w:val="0"/>
                <w:sz w:val="24"/>
              </w:rPr>
              <w:t>厂商应具备三年以上漏洞研究经验和独立漏洞发掘能力，自主发现的CNVD原创漏洞不少于24个，需提供相关证明材料。</w:t>
            </w:r>
          </w:p>
        </w:tc>
      </w:tr>
      <w:tr w14:paraId="3574E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pct"/>
            <w:vMerge w:val="continue"/>
            <w:tcBorders>
              <w:left w:val="single" w:color="auto" w:sz="4" w:space="0"/>
              <w:right w:val="single" w:color="auto" w:sz="4" w:space="0"/>
            </w:tcBorders>
          </w:tcPr>
          <w:p w14:paraId="41068CF6">
            <w:pPr>
              <w:widowControl/>
              <w:spacing w:line="440" w:lineRule="exact"/>
              <w:ind w:firstLine="0" w:firstLineChars="0"/>
              <w:rPr>
                <w:rFonts w:hint="eastAsia" w:ascii="仿宋" w:hAnsi="仿宋" w:eastAsia="仿宋" w:cs="微软雅黑"/>
                <w:kern w:val="0"/>
                <w:sz w:val="24"/>
              </w:rPr>
            </w:pPr>
          </w:p>
        </w:tc>
        <w:tc>
          <w:tcPr>
            <w:tcW w:w="4227" w:type="pct"/>
            <w:tcBorders>
              <w:top w:val="single" w:color="auto" w:sz="4" w:space="0"/>
              <w:left w:val="single" w:color="auto" w:sz="4" w:space="0"/>
              <w:bottom w:val="single" w:color="auto" w:sz="4" w:space="0"/>
              <w:right w:val="single" w:color="auto" w:sz="4" w:space="0"/>
            </w:tcBorders>
            <w:vAlign w:val="center"/>
          </w:tcPr>
          <w:p w14:paraId="335A978E">
            <w:pPr>
              <w:widowControl/>
              <w:spacing w:line="440" w:lineRule="exact"/>
              <w:ind w:firstLine="0" w:firstLineChars="0"/>
              <w:rPr>
                <w:rFonts w:hint="eastAsia" w:ascii="仿宋" w:hAnsi="仿宋" w:eastAsia="仿宋" w:cs="微软雅黑"/>
                <w:kern w:val="0"/>
                <w:sz w:val="24"/>
              </w:rPr>
            </w:pPr>
            <w:r>
              <w:rPr>
                <w:rFonts w:hint="eastAsia" w:ascii="仿宋" w:hAnsi="仿宋" w:eastAsia="仿宋" w:cs="微软雅黑"/>
                <w:kern w:val="0"/>
                <w:sz w:val="24"/>
              </w:rPr>
              <w:t>要求所投产品的生产厂商具备中国网络安全审查技术与认证中心的信息安全软件开发服务资质，需提供有效证书复印件。</w:t>
            </w:r>
          </w:p>
        </w:tc>
      </w:tr>
    </w:tbl>
    <w:p w14:paraId="1CD8C94C">
      <w:pPr>
        <w:ind w:firstLine="0" w:firstLineChars="0"/>
        <w:rPr>
          <w:rFonts w:hint="eastAsia"/>
        </w:rPr>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440" w:right="1191" w:bottom="1440" w:left="119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5"/>
      </w:pPr>
      <w:r>
        <w:separator/>
      </w:r>
    </w:p>
  </w:endnote>
  <w:endnote w:type="continuationSeparator" w:id="1">
    <w:p>
      <w:pPr>
        <w:spacing w:line="240" w:lineRule="auto"/>
        <w:ind w:firstLine="56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Malgun Gothic Semilight">
    <w:panose1 w:val="020B0502040204020203"/>
    <w:charset w:val="86"/>
    <w:family w:val="swiss"/>
    <w:pitch w:val="default"/>
    <w:sig w:usb0="900002AF" w:usb1="01D77CFB" w:usb2="00000012" w:usb3="00000000" w:csb0="203E01BD" w:csb1="D7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FC8F6">
    <w:pPr>
      <w:pStyle w:val="7"/>
      <w:ind w:firstLine="24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5E77F">
    <w:pPr>
      <w:pStyle w:val="7"/>
      <w:ind w:firstLine="2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35C93">
    <w:pPr>
      <w:pStyle w:val="7"/>
      <w:ind w:firstLine="24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5"/>
      </w:pPr>
      <w:r>
        <w:separator/>
      </w:r>
    </w:p>
  </w:footnote>
  <w:footnote w:type="continuationSeparator" w:id="1">
    <w:p>
      <w:pPr>
        <w:spacing w:line="240" w:lineRule="auto"/>
        <w:ind w:firstLine="56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13B80">
    <w:pPr>
      <w:pStyle w:val="8"/>
      <w:ind w:firstLine="24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9AA2B">
    <w:pPr>
      <w:pStyle w:val="8"/>
      <w:ind w:firstLine="24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8334E">
    <w:pPr>
      <w:pStyle w:val="8"/>
      <w:ind w:firstLine="24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94086"/>
    <w:multiLevelType w:val="multilevel"/>
    <w:tmpl w:val="1A294086"/>
    <w:lvl w:ilvl="0" w:tentative="0">
      <w:start w:val="1"/>
      <w:numFmt w:val="chineseCountingThousand"/>
      <w:pStyle w:val="18"/>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AC29DE"/>
    <w:multiLevelType w:val="multilevel"/>
    <w:tmpl w:val="27AC29DE"/>
    <w:lvl w:ilvl="0" w:tentative="0">
      <w:start w:val="1"/>
      <w:numFmt w:val="decimal"/>
      <w:pStyle w:val="2"/>
      <w:lvlText w:val="%1."/>
      <w:lvlJc w:val="left"/>
      <w:pPr>
        <w:ind w:left="425" w:hanging="425"/>
      </w:pPr>
      <w:rPr>
        <w:rFonts w:hint="eastAsia"/>
      </w:rPr>
    </w:lvl>
    <w:lvl w:ilvl="1" w:tentative="0">
      <w:start w:val="1"/>
      <w:numFmt w:val="decimal"/>
      <w:pStyle w:val="3"/>
      <w:lvlText w:val="%1.%2."/>
      <w:lvlJc w:val="left"/>
      <w:pPr>
        <w:ind w:left="992" w:hanging="567"/>
      </w:pPr>
      <w:rPr>
        <w:rFonts w:hint="eastAsia"/>
      </w:rPr>
    </w:lvl>
    <w:lvl w:ilvl="2" w:tentative="0">
      <w:start w:val="1"/>
      <w:numFmt w:val="decimal"/>
      <w:pStyle w:val="4"/>
      <w:lvlText w:val="%1.%2.%3."/>
      <w:lvlJc w:val="left"/>
      <w:pPr>
        <w:ind w:left="1418" w:hanging="567"/>
      </w:pPr>
      <w:rPr>
        <w:rFonts w:hint="eastAsia"/>
      </w:rPr>
    </w:lvl>
    <w:lvl w:ilvl="3" w:tentative="0">
      <w:start w:val="1"/>
      <w:numFmt w:val="decimal"/>
      <w:pStyle w:val="5"/>
      <w:lvlText w:val="%1.%2.%3.%4."/>
      <w:lvlJc w:val="left"/>
      <w:pPr>
        <w:ind w:left="1984" w:hanging="708"/>
      </w:pPr>
      <w:rPr>
        <w:rFonts w:hint="eastAsia"/>
      </w:rPr>
    </w:lvl>
    <w:lvl w:ilvl="4" w:tentative="0">
      <w:start w:val="1"/>
      <w:numFmt w:val="decimal"/>
      <w:pStyle w:val="6"/>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2DBB2B42"/>
    <w:multiLevelType w:val="multilevel"/>
    <w:tmpl w:val="2DBB2B42"/>
    <w:lvl w:ilvl="0" w:tentative="0">
      <w:start w:val="1"/>
      <w:numFmt w:val="chineseCounting"/>
      <w:pStyle w:val="26"/>
      <w:lvlText w:val="%1、"/>
      <w:lvlJc w:val="left"/>
      <w:pPr>
        <w:ind w:left="420" w:hanging="420"/>
      </w:pPr>
      <w:rPr>
        <w:rFonts w:hint="eastAsia"/>
        <w:b/>
        <w:bCs/>
        <w:sz w:val="36"/>
        <w:szCs w:val="3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CF25CE4"/>
    <w:multiLevelType w:val="multilevel"/>
    <w:tmpl w:val="3CF25CE4"/>
    <w:lvl w:ilvl="0" w:tentative="0">
      <w:start w:val="1"/>
      <w:numFmt w:val="chineseCountingThousand"/>
      <w:pStyle w:val="20"/>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D594BAD"/>
    <w:multiLevelType w:val="multilevel"/>
    <w:tmpl w:val="3D594BAD"/>
    <w:lvl w:ilvl="0" w:tentative="0">
      <w:start w:val="1"/>
      <w:numFmt w:val="chineseCountingThousand"/>
      <w:pStyle w:val="22"/>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4742025"/>
    <w:multiLevelType w:val="multilevel"/>
    <w:tmpl w:val="54742025"/>
    <w:lvl w:ilvl="0" w:tentative="0">
      <w:start w:val="1"/>
      <w:numFmt w:val="chineseCountingThousand"/>
      <w:pStyle w:val="19"/>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340"/>
    <w:rsid w:val="00007655"/>
    <w:rsid w:val="00071DD9"/>
    <w:rsid w:val="001F02A8"/>
    <w:rsid w:val="00225FB1"/>
    <w:rsid w:val="0024320D"/>
    <w:rsid w:val="002B0B50"/>
    <w:rsid w:val="002E4450"/>
    <w:rsid w:val="002E62AC"/>
    <w:rsid w:val="003E08F7"/>
    <w:rsid w:val="003E678C"/>
    <w:rsid w:val="00413035"/>
    <w:rsid w:val="00415919"/>
    <w:rsid w:val="00456486"/>
    <w:rsid w:val="004610AE"/>
    <w:rsid w:val="00495620"/>
    <w:rsid w:val="005D74E0"/>
    <w:rsid w:val="00633D6E"/>
    <w:rsid w:val="006538F2"/>
    <w:rsid w:val="007311B5"/>
    <w:rsid w:val="008018A5"/>
    <w:rsid w:val="008A7084"/>
    <w:rsid w:val="008E0340"/>
    <w:rsid w:val="008F5DEB"/>
    <w:rsid w:val="009F79C2"/>
    <w:rsid w:val="00AB28A9"/>
    <w:rsid w:val="00AE6870"/>
    <w:rsid w:val="00B44274"/>
    <w:rsid w:val="00B80988"/>
    <w:rsid w:val="00C12D2D"/>
    <w:rsid w:val="00C362D7"/>
    <w:rsid w:val="00C47D5A"/>
    <w:rsid w:val="00C84D58"/>
    <w:rsid w:val="00D025B9"/>
    <w:rsid w:val="00D40B1B"/>
    <w:rsid w:val="00E55FDA"/>
    <w:rsid w:val="00E85766"/>
    <w:rsid w:val="2E9A5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semiHidden="0" w:name="heading 4"/>
    <w:lsdException w:qFormat="1" w:uiPriority="9" w:semiHidden="0" w:name="heading 5"/>
    <w:lsdException w:qFormat="1" w:unhideWhenUsed="0" w:uiPriority="9" w:name="heading 6"/>
    <w:lsdException w:qFormat="1" w:unhideWhenUsed="0" w:uiPriority="9" w:name="heading 7"/>
    <w:lsdException w:qFormat="1" w:unhideWhenUsed="0" w:uiPriority="9" w:name="heading 8"/>
    <w:lsdException w:qFormat="1" w:unhideWhenUsed="0"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202" w:firstLineChars="202"/>
    </w:pPr>
    <w:rPr>
      <w:rFonts w:ascii="仿宋_GB2312" w:hAnsi="Times New Roman" w:eastAsia="仿宋_GB2312" w:cs="Arial"/>
      <w:kern w:val="2"/>
      <w:sz w:val="28"/>
      <w:szCs w:val="24"/>
      <w:lang w:val="en-US" w:eastAsia="zh-CN" w:bidi="ar-SA"/>
    </w:rPr>
  </w:style>
  <w:style w:type="paragraph" w:styleId="2">
    <w:name w:val="heading 1"/>
    <w:basedOn w:val="1"/>
    <w:next w:val="1"/>
    <w:link w:val="13"/>
    <w:qFormat/>
    <w:uiPriority w:val="9"/>
    <w:pPr>
      <w:keepNext/>
      <w:keepLines/>
      <w:numPr>
        <w:ilvl w:val="0"/>
        <w:numId w:val="1"/>
      </w:numPr>
      <w:snapToGrid w:val="0"/>
      <w:spacing w:line="240" w:lineRule="auto"/>
      <w:ind w:firstLine="0" w:firstLineChars="0"/>
      <w:outlineLvl w:val="0"/>
    </w:pPr>
    <w:rPr>
      <w:rFonts w:eastAsia="仿宋"/>
      <w:b/>
      <w:bCs/>
      <w:kern w:val="44"/>
      <w:sz w:val="32"/>
      <w:szCs w:val="44"/>
    </w:rPr>
  </w:style>
  <w:style w:type="paragraph" w:styleId="3">
    <w:name w:val="heading 2"/>
    <w:basedOn w:val="1"/>
    <w:next w:val="1"/>
    <w:link w:val="14"/>
    <w:unhideWhenUsed/>
    <w:qFormat/>
    <w:uiPriority w:val="0"/>
    <w:pPr>
      <w:keepNext/>
      <w:keepLines/>
      <w:numPr>
        <w:ilvl w:val="1"/>
        <w:numId w:val="1"/>
      </w:numPr>
      <w:snapToGrid w:val="0"/>
      <w:spacing w:line="240" w:lineRule="auto"/>
      <w:ind w:firstLine="0" w:firstLineChars="0"/>
      <w:outlineLvl w:val="1"/>
    </w:pPr>
    <w:rPr>
      <w:rFonts w:hAnsi="Cambria" w:eastAsia="仿宋" w:cs="Times New Roman"/>
      <w:b/>
      <w:bCs/>
      <w:sz w:val="32"/>
      <w:szCs w:val="32"/>
    </w:rPr>
  </w:style>
  <w:style w:type="paragraph" w:styleId="4">
    <w:name w:val="heading 3"/>
    <w:basedOn w:val="1"/>
    <w:next w:val="1"/>
    <w:link w:val="15"/>
    <w:unhideWhenUsed/>
    <w:qFormat/>
    <w:uiPriority w:val="0"/>
    <w:pPr>
      <w:keepNext/>
      <w:keepLines/>
      <w:numPr>
        <w:ilvl w:val="2"/>
        <w:numId w:val="1"/>
      </w:numPr>
      <w:spacing w:line="480" w:lineRule="auto"/>
      <w:ind w:firstLine="0" w:firstLineChars="0"/>
      <w:outlineLvl w:val="2"/>
    </w:pPr>
    <w:rPr>
      <w:b/>
      <w:bCs/>
      <w:szCs w:val="32"/>
    </w:rPr>
  </w:style>
  <w:style w:type="paragraph" w:styleId="5">
    <w:name w:val="heading 4"/>
    <w:basedOn w:val="1"/>
    <w:next w:val="1"/>
    <w:link w:val="16"/>
    <w:unhideWhenUsed/>
    <w:qFormat/>
    <w:uiPriority w:val="9"/>
    <w:pPr>
      <w:keepNext/>
      <w:keepLines/>
      <w:numPr>
        <w:ilvl w:val="3"/>
        <w:numId w:val="1"/>
      </w:numPr>
      <w:spacing w:line="376" w:lineRule="auto"/>
      <w:ind w:firstLine="0" w:firstLineChars="0"/>
      <w:outlineLvl w:val="3"/>
    </w:pPr>
    <w:rPr>
      <w:rFonts w:hAnsi="Cambria" w:cs="Times New Roman"/>
      <w:b/>
      <w:bCs/>
      <w:szCs w:val="28"/>
    </w:rPr>
  </w:style>
  <w:style w:type="paragraph" w:styleId="6">
    <w:name w:val="heading 5"/>
    <w:basedOn w:val="1"/>
    <w:next w:val="1"/>
    <w:link w:val="17"/>
    <w:unhideWhenUsed/>
    <w:qFormat/>
    <w:uiPriority w:val="9"/>
    <w:pPr>
      <w:keepNext/>
      <w:keepLines/>
      <w:numPr>
        <w:ilvl w:val="4"/>
        <w:numId w:val="1"/>
      </w:numPr>
      <w:spacing w:line="376" w:lineRule="auto"/>
      <w:ind w:firstLine="0" w:firstLineChars="0"/>
      <w:outlineLvl w:val="4"/>
    </w:pPr>
    <w:rPr>
      <w:b/>
      <w:bCs/>
      <w:szCs w:val="2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7">
    <w:name w:val="footer"/>
    <w:basedOn w:val="1"/>
    <w:link w:val="35"/>
    <w:unhideWhenUsed/>
    <w:uiPriority w:val="99"/>
    <w:pPr>
      <w:tabs>
        <w:tab w:val="center" w:pos="4153"/>
        <w:tab w:val="right" w:pos="8306"/>
      </w:tabs>
      <w:snapToGrid w:val="0"/>
      <w:spacing w:line="240" w:lineRule="atLeast"/>
    </w:pPr>
    <w:rPr>
      <w:sz w:val="18"/>
      <w:szCs w:val="18"/>
    </w:rPr>
  </w:style>
  <w:style w:type="paragraph" w:styleId="8">
    <w:name w:val="header"/>
    <w:basedOn w:val="1"/>
    <w:link w:val="34"/>
    <w:unhideWhenUsed/>
    <w:uiPriority w:val="99"/>
    <w:pPr>
      <w:tabs>
        <w:tab w:val="center" w:pos="4153"/>
        <w:tab w:val="right" w:pos="8306"/>
      </w:tabs>
      <w:snapToGrid w:val="0"/>
      <w:spacing w:line="240" w:lineRule="atLeast"/>
      <w:jc w:val="center"/>
    </w:pPr>
    <w:rPr>
      <w:sz w:val="18"/>
      <w:szCs w:val="18"/>
    </w:rPr>
  </w:style>
  <w:style w:type="character" w:styleId="11">
    <w:name w:val="Strong"/>
    <w:basedOn w:val="10"/>
    <w:qFormat/>
    <w:uiPriority w:val="22"/>
    <w:rPr>
      <w:b/>
      <w:bCs/>
    </w:rPr>
  </w:style>
  <w:style w:type="character" w:styleId="12">
    <w:name w:val="Emphasis"/>
    <w:basedOn w:val="10"/>
    <w:qFormat/>
    <w:uiPriority w:val="20"/>
    <w:rPr>
      <w:i/>
      <w:iCs/>
    </w:rPr>
  </w:style>
  <w:style w:type="character" w:customStyle="1" w:styleId="13">
    <w:name w:val="标题 1 字符"/>
    <w:link w:val="2"/>
    <w:qFormat/>
    <w:uiPriority w:val="9"/>
    <w:rPr>
      <w:rFonts w:ascii="仿宋_GB2312" w:hAnsi="Times New Roman" w:eastAsia="仿宋" w:cs="Arial"/>
      <w:b/>
      <w:bCs/>
      <w:kern w:val="44"/>
      <w:sz w:val="32"/>
      <w:szCs w:val="44"/>
    </w:rPr>
  </w:style>
  <w:style w:type="character" w:customStyle="1" w:styleId="14">
    <w:name w:val="标题 2 字符"/>
    <w:link w:val="3"/>
    <w:uiPriority w:val="0"/>
    <w:rPr>
      <w:rFonts w:ascii="仿宋_GB2312" w:hAnsi="Cambria" w:eastAsia="仿宋"/>
      <w:b/>
      <w:bCs/>
      <w:kern w:val="2"/>
      <w:sz w:val="32"/>
      <w:szCs w:val="32"/>
    </w:rPr>
  </w:style>
  <w:style w:type="character" w:customStyle="1" w:styleId="15">
    <w:name w:val="标题 3 字符"/>
    <w:link w:val="4"/>
    <w:uiPriority w:val="9"/>
    <w:rPr>
      <w:rFonts w:ascii="仿宋_GB2312" w:hAnsi="Times New Roman" w:eastAsia="仿宋_GB2312" w:cs="Arial"/>
      <w:b/>
      <w:bCs/>
      <w:kern w:val="2"/>
      <w:sz w:val="28"/>
      <w:szCs w:val="32"/>
    </w:rPr>
  </w:style>
  <w:style w:type="character" w:customStyle="1" w:styleId="16">
    <w:name w:val="标题 4 字符"/>
    <w:link w:val="5"/>
    <w:uiPriority w:val="9"/>
    <w:rPr>
      <w:rFonts w:ascii="仿宋_GB2312" w:hAnsi="Cambria" w:eastAsia="仿宋_GB2312"/>
      <w:b/>
      <w:bCs/>
      <w:kern w:val="2"/>
      <w:sz w:val="28"/>
      <w:szCs w:val="28"/>
    </w:rPr>
  </w:style>
  <w:style w:type="character" w:customStyle="1" w:styleId="17">
    <w:name w:val="标题 5 字符"/>
    <w:link w:val="6"/>
    <w:uiPriority w:val="9"/>
    <w:rPr>
      <w:rFonts w:ascii="仿宋_GB2312" w:hAnsi="Times New Roman" w:eastAsia="仿宋_GB2312" w:cs="Arial"/>
      <w:b/>
      <w:bCs/>
      <w:kern w:val="2"/>
      <w:sz w:val="28"/>
      <w:szCs w:val="28"/>
    </w:rPr>
  </w:style>
  <w:style w:type="paragraph" w:customStyle="1" w:styleId="18">
    <w:name w:val="标题章节"/>
    <w:basedOn w:val="19"/>
    <w:qFormat/>
    <w:uiPriority w:val="9"/>
    <w:pPr>
      <w:numPr>
        <w:ilvl w:val="0"/>
        <w:numId w:val="2"/>
      </w:numPr>
      <w:jc w:val="center"/>
    </w:pPr>
    <w:rPr>
      <w:rFonts w:ascii="黑体" w:hAnsi="黑体" w:eastAsia="黑体" w:cs="Times New Roman"/>
    </w:rPr>
  </w:style>
  <w:style w:type="paragraph" w:styleId="19">
    <w:name w:val="List Paragraph"/>
    <w:basedOn w:val="1"/>
    <w:qFormat/>
    <w:uiPriority w:val="9"/>
    <w:pPr>
      <w:numPr>
        <w:ilvl w:val="0"/>
        <w:numId w:val="3"/>
      </w:numPr>
      <w:ind w:firstLine="0" w:firstLineChars="0"/>
    </w:pPr>
    <w:rPr>
      <w:b/>
      <w:sz w:val="44"/>
      <w:szCs w:val="44"/>
    </w:rPr>
  </w:style>
  <w:style w:type="paragraph" w:customStyle="1" w:styleId="20">
    <w:name w:val="标题一、"/>
    <w:basedOn w:val="2"/>
    <w:next w:val="1"/>
    <w:link w:val="21"/>
    <w:uiPriority w:val="9"/>
    <w:pPr>
      <w:numPr>
        <w:numId w:val="4"/>
      </w:numPr>
    </w:pPr>
  </w:style>
  <w:style w:type="character" w:customStyle="1" w:styleId="21">
    <w:name w:val="标题一、 Char"/>
    <w:basedOn w:val="13"/>
    <w:link w:val="20"/>
    <w:qFormat/>
    <w:uiPriority w:val="9"/>
    <w:rPr>
      <w:rFonts w:ascii="仿宋_GB2312" w:hAnsi="Times New Roman" w:eastAsia="仿宋_GB2312" w:cs="Arial"/>
      <w:kern w:val="44"/>
      <w:sz w:val="36"/>
      <w:szCs w:val="44"/>
    </w:rPr>
  </w:style>
  <w:style w:type="paragraph" w:customStyle="1" w:styleId="22">
    <w:name w:val="章节"/>
    <w:basedOn w:val="2"/>
    <w:next w:val="1"/>
    <w:link w:val="23"/>
    <w:uiPriority w:val="9"/>
    <w:pPr>
      <w:numPr>
        <w:numId w:val="5"/>
      </w:numPr>
    </w:pPr>
  </w:style>
  <w:style w:type="character" w:customStyle="1" w:styleId="23">
    <w:name w:val="章节 Char"/>
    <w:basedOn w:val="13"/>
    <w:link w:val="22"/>
    <w:uiPriority w:val="9"/>
    <w:rPr>
      <w:rFonts w:ascii="仿宋_GB2312" w:hAnsi="Times New Roman" w:eastAsia="仿宋_GB2312" w:cs="Arial"/>
      <w:kern w:val="44"/>
      <w:sz w:val="36"/>
      <w:szCs w:val="44"/>
    </w:rPr>
  </w:style>
  <w:style w:type="character" w:customStyle="1" w:styleId="24">
    <w:name w:val="Book Title"/>
    <w:basedOn w:val="10"/>
    <w:qFormat/>
    <w:uiPriority w:val="33"/>
    <w:rPr>
      <w:b/>
      <w:bCs/>
      <w:smallCaps/>
      <w:spacing w:val="5"/>
    </w:rPr>
  </w:style>
  <w:style w:type="paragraph" w:customStyle="1" w:styleId="25">
    <w:name w:val="TOC Heading"/>
    <w:basedOn w:val="2"/>
    <w:next w:val="1"/>
    <w:semiHidden/>
    <w:unhideWhenUsed/>
    <w:qFormat/>
    <w:uiPriority w:val="39"/>
    <w:pPr>
      <w:widowControl/>
      <w:numPr>
        <w:numId w:val="0"/>
      </w:numPr>
      <w:spacing w:before="480" w:line="276" w:lineRule="auto"/>
      <w:outlineLvl w:val="9"/>
    </w:pPr>
    <w:rPr>
      <w:rFonts w:asciiTheme="majorHAnsi" w:hAnsiTheme="majorHAnsi" w:eastAsiaTheme="majorEastAsia" w:cstheme="majorBidi"/>
      <w:color w:val="376092" w:themeColor="accent1" w:themeShade="BF"/>
      <w:kern w:val="0"/>
      <w:sz w:val="28"/>
      <w:szCs w:val="28"/>
    </w:rPr>
  </w:style>
  <w:style w:type="paragraph" w:customStyle="1" w:styleId="26">
    <w:name w:val="样式一"/>
    <w:basedOn w:val="1"/>
    <w:next w:val="1"/>
    <w:link w:val="27"/>
    <w:qFormat/>
    <w:uiPriority w:val="0"/>
    <w:pPr>
      <w:numPr>
        <w:ilvl w:val="0"/>
        <w:numId w:val="6"/>
      </w:numPr>
      <w:ind w:firstLine="0" w:firstLineChars="0"/>
    </w:pPr>
    <w:rPr>
      <w:sz w:val="44"/>
    </w:rPr>
  </w:style>
  <w:style w:type="character" w:customStyle="1" w:styleId="27">
    <w:name w:val="样式一 Char"/>
    <w:basedOn w:val="10"/>
    <w:link w:val="26"/>
    <w:qFormat/>
    <w:uiPriority w:val="0"/>
    <w:rPr>
      <w:rFonts w:ascii="仿宋_GB2312" w:hAnsi="Times New Roman" w:eastAsia="仿宋_GB2312" w:cs="Arial"/>
      <w:kern w:val="2"/>
      <w:sz w:val="44"/>
      <w:szCs w:val="24"/>
    </w:rPr>
  </w:style>
  <w:style w:type="paragraph" w:customStyle="1" w:styleId="28">
    <w:name w:val="正文2"/>
    <w:basedOn w:val="1"/>
    <w:qFormat/>
    <w:uiPriority w:val="0"/>
    <w:pPr>
      <w:spacing w:line="240" w:lineRule="auto"/>
    </w:pPr>
  </w:style>
  <w:style w:type="paragraph" w:styleId="29">
    <w:name w:val="Quote"/>
    <w:basedOn w:val="1"/>
    <w:next w:val="1"/>
    <w:link w:val="30"/>
    <w:qFormat/>
    <w:uiPriority w:val="29"/>
    <w:rPr>
      <w:i/>
      <w:iCs/>
      <w:color w:val="000000" w:themeColor="text1"/>
      <w14:textFill>
        <w14:solidFill>
          <w14:schemeClr w14:val="tx1"/>
        </w14:solidFill>
      </w14:textFill>
    </w:rPr>
  </w:style>
  <w:style w:type="character" w:customStyle="1" w:styleId="30">
    <w:name w:val="引用 字符"/>
    <w:basedOn w:val="10"/>
    <w:link w:val="29"/>
    <w:uiPriority w:val="29"/>
    <w:rPr>
      <w:rFonts w:ascii="仿宋_GB2312" w:hAnsi="Times New Roman" w:eastAsia="仿宋_GB2312" w:cs="Arial"/>
      <w:i/>
      <w:iCs/>
      <w:color w:val="000000" w:themeColor="text1"/>
      <w:kern w:val="2"/>
      <w:sz w:val="28"/>
      <w:szCs w:val="24"/>
      <w14:textFill>
        <w14:solidFill>
          <w14:schemeClr w14:val="tx1"/>
        </w14:solidFill>
      </w14:textFill>
    </w:rPr>
  </w:style>
  <w:style w:type="paragraph" w:styleId="31">
    <w:name w:val="Intense Quote"/>
    <w:basedOn w:val="1"/>
    <w:next w:val="1"/>
    <w:link w:val="32"/>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32">
    <w:name w:val="明显引用 字符"/>
    <w:basedOn w:val="10"/>
    <w:link w:val="31"/>
    <w:qFormat/>
    <w:uiPriority w:val="30"/>
    <w:rPr>
      <w:rFonts w:ascii="仿宋_GB2312" w:hAnsi="Times New Roman" w:eastAsia="仿宋_GB2312" w:cs="Arial"/>
      <w:b/>
      <w:bCs/>
      <w:i/>
      <w:iCs/>
      <w:color w:val="4F81BD" w:themeColor="accent1"/>
      <w:kern w:val="2"/>
      <w:sz w:val="28"/>
      <w:szCs w:val="24"/>
      <w14:textFill>
        <w14:solidFill>
          <w14:schemeClr w14:val="accent1"/>
        </w14:solidFill>
      </w14:textFill>
    </w:rPr>
  </w:style>
  <w:style w:type="character" w:customStyle="1" w:styleId="33">
    <w:name w:val="Intense Emphasis"/>
    <w:basedOn w:val="10"/>
    <w:qFormat/>
    <w:uiPriority w:val="21"/>
    <w:rPr>
      <w:b/>
      <w:bCs/>
      <w:i/>
      <w:iCs/>
      <w:color w:val="4F81BD" w:themeColor="accent1"/>
      <w14:textFill>
        <w14:solidFill>
          <w14:schemeClr w14:val="accent1"/>
        </w14:solidFill>
      </w14:textFill>
    </w:rPr>
  </w:style>
  <w:style w:type="character" w:customStyle="1" w:styleId="34">
    <w:name w:val="页眉 字符"/>
    <w:basedOn w:val="10"/>
    <w:link w:val="8"/>
    <w:uiPriority w:val="99"/>
    <w:rPr>
      <w:rFonts w:ascii="仿宋_GB2312" w:hAnsi="Times New Roman" w:eastAsia="仿宋_GB2312" w:cs="Arial"/>
      <w:kern w:val="2"/>
      <w:sz w:val="18"/>
      <w:szCs w:val="18"/>
    </w:rPr>
  </w:style>
  <w:style w:type="character" w:customStyle="1" w:styleId="35">
    <w:name w:val="页脚 字符"/>
    <w:basedOn w:val="10"/>
    <w:link w:val="7"/>
    <w:uiPriority w:val="99"/>
    <w:rPr>
      <w:rFonts w:ascii="仿宋_GB2312" w:hAnsi="Times New Roman" w:eastAsia="仿宋_GB2312" w:cs="Arial"/>
      <w:kern w:val="2"/>
      <w:sz w:val="18"/>
      <w:szCs w:val="18"/>
    </w:rPr>
  </w:style>
  <w:style w:type="character" w:customStyle="1" w:styleId="36">
    <w:name w:val="标题 2 Char"/>
    <w:uiPriority w:val="0"/>
    <w:rPr>
      <w:rFonts w:ascii="Arial" w:hAnsi="Arial" w:eastAsia="黑体"/>
      <w:b/>
      <w:bCs/>
      <w:kern w:val="2"/>
      <w:sz w:val="32"/>
      <w:szCs w:val="32"/>
      <w:lang w:val="en-US" w:eastAsia="zh-CN" w:bidi="ar-SA"/>
    </w:rPr>
  </w:style>
  <w:style w:type="character" w:customStyle="1" w:styleId="37">
    <w:name w:val="标题 3 Char"/>
    <w:uiPriority w:val="0"/>
    <w:rPr>
      <w:rFonts w:eastAsia="宋体"/>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2308</Words>
  <Characters>2344</Characters>
  <Lines>46</Lines>
  <Paragraphs>13</Paragraphs>
  <TotalTime>16</TotalTime>
  <ScaleCrop>false</ScaleCrop>
  <LinksUpToDate>false</LinksUpToDate>
  <CharactersWithSpaces>2344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2024-11-28T03:14:00Z</dcterms:created>
  <dc:creator>Administrator</dc:creator>
  <cp:lastModifiedBy>Administrator</cp:lastModifiedBy>
  <dcterms:modified xsi:type="dcterms:W3CDTF">2024-12-02T02:18:25Z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2973E955660845ABADFBCBE4BE83ED9B_13</vt:lpwstr>
  </property>
</Properties>
</file>